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2F84B3" w14:textId="39D563D4" w:rsidR="00297658" w:rsidRDefault="00297658" w:rsidP="00297658">
      <w:pPr>
        <w:bidi/>
        <w:jc w:val="center"/>
        <w:rPr>
          <w:rFonts w:ascii="Tahoma" w:hAnsi="Tahoma" w:cs="Tahoma"/>
          <w:b/>
          <w:bCs/>
          <w:sz w:val="28"/>
          <w:szCs w:val="28"/>
          <w:rtl/>
        </w:rPr>
      </w:pPr>
      <w:r w:rsidRPr="00297658">
        <w:rPr>
          <w:rFonts w:ascii="Tahoma" w:hAnsi="Tahoma" w:cs="Tahoma" w:hint="cs"/>
          <w:b/>
          <w:bCs/>
          <w:sz w:val="28"/>
          <w:szCs w:val="28"/>
          <w:rtl/>
        </w:rPr>
        <w:t xml:space="preserve">اللوفر أبوظبي يعقد شراكة مع </w:t>
      </w:r>
      <w:r w:rsidRPr="00297658">
        <w:rPr>
          <w:rFonts w:ascii="Tahoma" w:hAnsi="Tahoma" w:cs="Tahoma"/>
          <w:b/>
          <w:bCs/>
          <w:sz w:val="28"/>
          <w:szCs w:val="28"/>
          <w:rtl/>
        </w:rPr>
        <w:t>مجموعة في بي إس للرعاية الصحية</w:t>
      </w:r>
      <w:r w:rsidRPr="00297658">
        <w:rPr>
          <w:rFonts w:ascii="Tahoma" w:hAnsi="Tahoma" w:cs="Tahoma" w:hint="cs"/>
          <w:b/>
          <w:bCs/>
          <w:sz w:val="28"/>
          <w:szCs w:val="28"/>
          <w:rtl/>
        </w:rPr>
        <w:t xml:space="preserve"> لتأمين تجربة آمنة وسليمة لزواره وموظفيه</w:t>
      </w:r>
    </w:p>
    <w:p w14:paraId="4A638DE9" w14:textId="3551A85C" w:rsidR="00297658" w:rsidRDefault="00F37A3B" w:rsidP="00297658">
      <w:pPr>
        <w:bidi/>
        <w:jc w:val="center"/>
        <w:rPr>
          <w:rFonts w:ascii="Tahoma" w:hAnsi="Tahoma" w:cs="Tahoma"/>
          <w:rtl/>
        </w:rPr>
      </w:pPr>
      <w:r>
        <w:rPr>
          <w:rFonts w:ascii="Tahoma" w:hAnsi="Tahoma" w:cs="Tahoma" w:hint="cs"/>
          <w:rtl/>
        </w:rPr>
        <w:t>ستسا</w:t>
      </w:r>
      <w:r w:rsidR="00297658">
        <w:rPr>
          <w:rFonts w:ascii="Tahoma" w:hAnsi="Tahoma" w:cs="Tahoma" w:hint="cs"/>
          <w:rtl/>
        </w:rPr>
        <w:t>هم المجموعة في تعزيز إجراءات الصحة والسلامة التي يتخذها المتحف، بما في ذلك إجراء فحوصات كوفيد-19 للموظفين وتنظيم ندوات توعية لهم</w:t>
      </w:r>
    </w:p>
    <w:p w14:paraId="0F76A31A" w14:textId="31A2C8BF" w:rsidR="00297658" w:rsidRDefault="00EA1EC1" w:rsidP="00302B4D">
      <w:pPr>
        <w:bidi/>
        <w:jc w:val="both"/>
        <w:rPr>
          <w:rFonts w:ascii="Tahoma" w:hAnsi="Tahoma" w:cs="Tahoma"/>
          <w:b/>
          <w:bCs/>
          <w:rtl/>
        </w:rPr>
      </w:pPr>
      <w:r>
        <w:rPr>
          <w:noProof/>
        </w:rPr>
        <w:drawing>
          <wp:inline distT="0" distB="0" distL="0" distR="0" wp14:anchorId="082FA7E6" wp14:editId="65F53D15">
            <wp:extent cx="5732145" cy="38322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3832225"/>
                    </a:xfrm>
                    <a:prstGeom prst="rect">
                      <a:avLst/>
                    </a:prstGeom>
                  </pic:spPr>
                </pic:pic>
              </a:graphicData>
            </a:graphic>
          </wp:inline>
        </w:drawing>
      </w:r>
    </w:p>
    <w:p w14:paraId="4CB2A89A" w14:textId="4DD87E4D" w:rsidR="00302B4D" w:rsidRDefault="00302B4D" w:rsidP="00302B4D">
      <w:pPr>
        <w:bidi/>
        <w:jc w:val="center"/>
        <w:rPr>
          <w:rFonts w:ascii="Tahoma" w:hAnsi="Tahoma" w:cs="Tahoma"/>
          <w:b/>
          <w:i/>
          <w:sz w:val="14"/>
          <w:szCs w:val="14"/>
          <w:rtl/>
        </w:rPr>
      </w:pPr>
      <w:r w:rsidRPr="00302B4D">
        <w:rPr>
          <w:rFonts w:ascii="Tahoma" w:hAnsi="Tahoma" w:cs="Tahoma"/>
          <w:sz w:val="14"/>
          <w:szCs w:val="14"/>
          <w:rtl/>
        </w:rPr>
        <w:t>من اليسار إلى اليمين - بانكاج بول – مدير قسم الإستراتيجية، في بي إس للرعاية الصحية</w:t>
      </w:r>
      <w:r w:rsidRPr="00302B4D">
        <w:rPr>
          <w:rFonts w:ascii="Tahoma" w:hAnsi="Tahoma" w:cs="Tahoma"/>
          <w:b/>
          <w:i/>
          <w:sz w:val="14"/>
          <w:szCs w:val="14"/>
          <w:rtl/>
        </w:rPr>
        <w:t xml:space="preserve">، ايما كانتويل – مديرة التسويق والاتصال في متحف اللوفر أبوظبي، جون سونيل- الرئيس التنفيذي لمستشفيات ومراكز برجيل الطبية في أبوظبي والعين، عمران خوري – رئيس قسم تطوير الأعمال، في بي إس </w:t>
      </w:r>
      <w:r w:rsidRPr="00E636BC">
        <w:rPr>
          <w:rFonts w:ascii="Tahoma" w:hAnsi="Tahoma" w:cs="Tahoma"/>
          <w:b/>
          <w:i/>
          <w:sz w:val="14"/>
          <w:szCs w:val="14"/>
          <w:rtl/>
        </w:rPr>
        <w:t xml:space="preserve">للرعاية الصحية، </w:t>
      </w:r>
      <w:r w:rsidRPr="009B2AE4">
        <w:rPr>
          <w:rFonts w:ascii="Tahoma" w:hAnsi="Tahoma" w:cs="Tahoma"/>
          <w:bCs/>
          <w:i/>
          <w:sz w:val="14"/>
          <w:szCs w:val="14"/>
          <w:rtl/>
        </w:rPr>
        <w:t>الدكتور شمشير فاياليل، الرئيس التنفيذي والعضو المنتدب لمجموعة في بي إس للرعاية الصحية، مانويل راباتيه، مدير متحف اللوفر أبوظبي</w:t>
      </w:r>
      <w:r w:rsidRPr="00E636BC">
        <w:rPr>
          <w:rFonts w:ascii="Tahoma" w:hAnsi="Tahoma" w:cs="Tahoma"/>
          <w:b/>
          <w:i/>
          <w:sz w:val="14"/>
          <w:szCs w:val="14"/>
          <w:rtl/>
        </w:rPr>
        <w:t>، حمد الحوسني، ضابط أول علاقات حكومية</w:t>
      </w:r>
      <w:r w:rsidRPr="00302B4D">
        <w:rPr>
          <w:rFonts w:ascii="Tahoma" w:hAnsi="Tahoma" w:cs="Tahoma"/>
          <w:b/>
          <w:i/>
          <w:sz w:val="14"/>
          <w:szCs w:val="14"/>
          <w:rtl/>
        </w:rPr>
        <w:t xml:space="preserve"> في متحف اللوفر أبوظبي، سفير أحمد – الرئيس التنفيذي لمستشفيات ميديور، إل إل إتش، ولايف كير، الدكتور/ لالو شاكو – المدير الطبي، مستشفى برجيل،  أيه. إس. بيلاي – المدير المالي لمجموعة في بي إس للرعاية الصحية</w:t>
      </w:r>
    </w:p>
    <w:p w14:paraId="0572203A" w14:textId="77777777" w:rsidR="00FF1B77" w:rsidRPr="00302B4D" w:rsidRDefault="00FF1B77" w:rsidP="00FF1B77">
      <w:pPr>
        <w:bidi/>
        <w:jc w:val="center"/>
        <w:rPr>
          <w:rFonts w:ascii="Tahoma" w:hAnsi="Tahoma" w:cs="Tahoma"/>
          <w:b/>
          <w:i/>
          <w:sz w:val="14"/>
          <w:szCs w:val="14"/>
          <w:rtl/>
        </w:rPr>
      </w:pPr>
    </w:p>
    <w:p w14:paraId="3A9145F9" w14:textId="3E090ADD" w:rsidR="00B5665E" w:rsidRPr="00B5665E" w:rsidRDefault="00B5665E" w:rsidP="00302B4D">
      <w:pPr>
        <w:bidi/>
        <w:jc w:val="both"/>
        <w:rPr>
          <w:rFonts w:ascii="Tahoma" w:hAnsi="Tahoma" w:cs="Tahoma"/>
          <w:rtl/>
        </w:rPr>
      </w:pPr>
      <w:r>
        <w:rPr>
          <w:rFonts w:ascii="Tahoma" w:hAnsi="Tahoma" w:cs="Tahoma" w:hint="cs"/>
          <w:b/>
          <w:bCs/>
          <w:rtl/>
        </w:rPr>
        <w:t>أبوظبي،</w:t>
      </w:r>
      <w:r w:rsidR="00EA1EC1">
        <w:rPr>
          <w:rFonts w:ascii="Tahoma" w:hAnsi="Tahoma" w:cs="Tahoma"/>
          <w:b/>
          <w:bCs/>
        </w:rPr>
        <w:t xml:space="preserve"> </w:t>
      </w:r>
      <w:r w:rsidR="00EA1EC1" w:rsidRPr="00EA1EC1">
        <w:rPr>
          <w:rFonts w:ascii="Tahoma" w:hAnsi="Tahoma" w:cs="Tahoma"/>
          <w:b/>
          <w:bCs/>
        </w:rPr>
        <w:t>1</w:t>
      </w:r>
      <w:r w:rsidR="009B2AE4">
        <w:rPr>
          <w:rFonts w:ascii="Tahoma" w:hAnsi="Tahoma" w:cs="Tahoma"/>
          <w:b/>
          <w:bCs/>
        </w:rPr>
        <w:t>4</w:t>
      </w:r>
      <w:r w:rsidR="007D505C" w:rsidRPr="00EA1EC1">
        <w:rPr>
          <w:rFonts w:ascii="Tahoma" w:hAnsi="Tahoma" w:cs="Tahoma" w:hint="cs"/>
          <w:b/>
          <w:bCs/>
          <w:rtl/>
        </w:rPr>
        <w:t>يو</w:t>
      </w:r>
      <w:r w:rsidR="007D505C" w:rsidRPr="00EA1EC1">
        <w:rPr>
          <w:rFonts w:ascii="Tahoma" w:hAnsi="Tahoma" w:cs="Tahoma" w:hint="cs"/>
          <w:b/>
          <w:bCs/>
          <w:rtl/>
          <w:lang w:bidi="ar-AE"/>
        </w:rPr>
        <w:t>ل</w:t>
      </w:r>
      <w:r w:rsidRPr="00EA1EC1">
        <w:rPr>
          <w:rFonts w:ascii="Tahoma" w:hAnsi="Tahoma" w:cs="Tahoma" w:hint="cs"/>
          <w:b/>
          <w:bCs/>
          <w:rtl/>
        </w:rPr>
        <w:t>يو 2020</w:t>
      </w:r>
      <w:r>
        <w:rPr>
          <w:rFonts w:ascii="Tahoma" w:hAnsi="Tahoma" w:cs="Tahoma" w:hint="cs"/>
          <w:b/>
          <w:bCs/>
          <w:rtl/>
        </w:rPr>
        <w:t xml:space="preserve">: </w:t>
      </w:r>
      <w:r>
        <w:rPr>
          <w:rFonts w:ascii="Tahoma" w:hAnsi="Tahoma" w:cs="Tahoma" w:hint="cs"/>
          <w:rtl/>
        </w:rPr>
        <w:t xml:space="preserve">أعلن متحف اللوفر أبوظبي عن شراكته الجديدة مع </w:t>
      </w:r>
      <w:r w:rsidRPr="00B5665E">
        <w:rPr>
          <w:rFonts w:ascii="Tahoma" w:hAnsi="Tahoma" w:cs="Tahoma" w:hint="cs"/>
          <w:rtl/>
          <w:lang w:bidi="ar-EG"/>
        </w:rPr>
        <w:t>مجموعة في بي إس للرعاية الصحية</w:t>
      </w:r>
      <w:r>
        <w:rPr>
          <w:rFonts w:ascii="Tahoma" w:hAnsi="Tahoma" w:cs="Tahoma" w:hint="cs"/>
          <w:rtl/>
          <w:lang w:bidi="ar-EG"/>
        </w:rPr>
        <w:t xml:space="preserve">، وهي </w:t>
      </w:r>
      <w:r w:rsidRPr="00B5665E">
        <w:rPr>
          <w:rFonts w:ascii="Tahoma" w:hAnsi="Tahoma" w:cs="Tahoma"/>
          <w:rtl/>
          <w:lang w:bidi="ar-EG"/>
        </w:rPr>
        <w:t>مجموعة متخصصة في تقديم الرعاية الصحية المتكاملة</w:t>
      </w:r>
      <w:r>
        <w:rPr>
          <w:rFonts w:ascii="Tahoma" w:hAnsi="Tahoma" w:cs="Tahoma" w:hint="cs"/>
          <w:rtl/>
          <w:lang w:bidi="ar-EG"/>
        </w:rPr>
        <w:t xml:space="preserve"> في أبوظبي، وذلك </w:t>
      </w:r>
      <w:r w:rsidR="00F37A3B">
        <w:rPr>
          <w:rFonts w:ascii="Tahoma" w:hAnsi="Tahoma" w:cs="Tahoma" w:hint="cs"/>
          <w:rtl/>
          <w:lang w:bidi="ar-EG"/>
        </w:rPr>
        <w:t xml:space="preserve">لتوفير </w:t>
      </w:r>
      <w:r>
        <w:rPr>
          <w:rFonts w:ascii="Tahoma" w:hAnsi="Tahoma" w:cs="Tahoma" w:hint="cs"/>
          <w:rtl/>
          <w:lang w:bidi="ar-EG"/>
        </w:rPr>
        <w:t>خطة متكاملة لتطبيق التدابير الاحترازية في مواجهة فيروس كورونا (كوفيد-19)، وضمان سلامة موظفي المتحف وزواره.</w:t>
      </w:r>
    </w:p>
    <w:p w14:paraId="2DCE8921" w14:textId="39709862" w:rsidR="00B5665E" w:rsidRPr="00B5665E" w:rsidRDefault="00B5665E" w:rsidP="00F37A3B">
      <w:pPr>
        <w:bidi/>
        <w:jc w:val="both"/>
        <w:rPr>
          <w:rFonts w:ascii="Tahoma" w:hAnsi="Tahoma" w:cs="Tahoma"/>
          <w:b/>
          <w:i/>
          <w:rtl/>
        </w:rPr>
      </w:pPr>
      <w:r>
        <w:rPr>
          <w:rFonts w:ascii="Tahoma" w:hAnsi="Tahoma" w:cs="Tahoma" w:hint="cs"/>
          <w:b/>
          <w:i/>
          <w:rtl/>
        </w:rPr>
        <w:t xml:space="preserve">تعليقاً على هذه الشراكة، قال </w:t>
      </w:r>
      <w:r w:rsidRPr="00B5665E">
        <w:rPr>
          <w:rFonts w:ascii="Tahoma" w:hAnsi="Tahoma" w:cs="Tahoma" w:hint="cs"/>
          <w:bCs/>
          <w:i/>
          <w:rtl/>
        </w:rPr>
        <w:t>مانويل راباتيه، مدير متحف اللوفر أبوظبي</w:t>
      </w:r>
      <w:r>
        <w:rPr>
          <w:rFonts w:ascii="Tahoma" w:hAnsi="Tahoma" w:cs="Tahoma" w:hint="cs"/>
          <w:b/>
          <w:i/>
          <w:rtl/>
        </w:rPr>
        <w:t xml:space="preserve">: "يسرنا أن نعلن عن شراكتنا مع </w:t>
      </w:r>
      <w:r w:rsidRPr="00B5665E">
        <w:rPr>
          <w:rFonts w:ascii="Tahoma" w:hAnsi="Tahoma" w:cs="Tahoma" w:hint="cs"/>
          <w:rtl/>
          <w:lang w:bidi="ar-EG"/>
        </w:rPr>
        <w:t>مجموعة في بي إس للرعاية الصحية</w:t>
      </w:r>
      <w:r>
        <w:rPr>
          <w:rFonts w:ascii="Tahoma" w:hAnsi="Tahoma" w:cs="Tahoma" w:hint="cs"/>
          <w:b/>
          <w:i/>
          <w:rtl/>
          <w:lang w:bidi="ar-EG"/>
        </w:rPr>
        <w:t>. فاللوفر أبوظبي هو متحف لراحة النفس والعقل، وفيما نُعيد فتح أبوابنا من جديد أمام الزوار، نحرص على أن نقدّم لهم تجربة آمنة قدر الإمكان. لذا، ست</w:t>
      </w:r>
      <w:r w:rsidR="00F37A3B">
        <w:rPr>
          <w:rFonts w:ascii="Tahoma" w:hAnsi="Tahoma" w:cs="Tahoma" w:hint="cs"/>
          <w:b/>
          <w:i/>
          <w:rtl/>
          <w:lang w:bidi="ar-EG"/>
        </w:rPr>
        <w:t>وفر</w:t>
      </w:r>
      <w:r>
        <w:rPr>
          <w:rFonts w:ascii="Tahoma" w:hAnsi="Tahoma" w:cs="Tahoma" w:hint="cs"/>
          <w:b/>
          <w:i/>
          <w:rtl/>
          <w:lang w:bidi="ar-EG"/>
        </w:rPr>
        <w:t xml:space="preserve"> لنا </w:t>
      </w:r>
      <w:r w:rsidRPr="00B5665E">
        <w:rPr>
          <w:rFonts w:ascii="Tahoma" w:hAnsi="Tahoma" w:cs="Tahoma" w:hint="cs"/>
          <w:rtl/>
          <w:lang w:bidi="ar-EG"/>
        </w:rPr>
        <w:t xml:space="preserve">مجموعة في بي إس </w:t>
      </w:r>
      <w:r>
        <w:rPr>
          <w:rFonts w:ascii="Tahoma" w:hAnsi="Tahoma" w:cs="Tahoma" w:hint="cs"/>
          <w:rtl/>
          <w:lang w:bidi="ar-EG"/>
        </w:rPr>
        <w:t xml:space="preserve">في إطار هذه الشراكة الموارد والخبرة الضرورية التي تسمح لنا بالحفاظ على بيئة صحية وآمنة لموظفينا وزوارنا على حد سواء. </w:t>
      </w:r>
      <w:r w:rsidR="0036663C">
        <w:rPr>
          <w:rFonts w:ascii="Tahoma" w:hAnsi="Tahoma" w:cs="Tahoma" w:hint="cs"/>
          <w:rtl/>
          <w:lang w:bidi="ar-EG"/>
        </w:rPr>
        <w:t>كما أنني سعيد جداً بهذا التعاون الذي يجمع ما بين الفنون والطب. نحن نتطلع إلى العمل بشك</w:t>
      </w:r>
      <w:r w:rsidR="00154151">
        <w:rPr>
          <w:rFonts w:ascii="Tahoma" w:hAnsi="Tahoma" w:cs="Tahoma" w:hint="cs"/>
          <w:rtl/>
          <w:lang w:bidi="ar-AE"/>
        </w:rPr>
        <w:t>ل</w:t>
      </w:r>
      <w:r w:rsidR="0036663C">
        <w:rPr>
          <w:rFonts w:ascii="Tahoma" w:hAnsi="Tahoma" w:cs="Tahoma" w:hint="cs"/>
          <w:rtl/>
          <w:lang w:bidi="ar-EG"/>
        </w:rPr>
        <w:t xml:space="preserve"> وثيق مع المجموعة لنسير نحو المستقبل الذي </w:t>
      </w:r>
      <w:r w:rsidR="00F37A3B">
        <w:rPr>
          <w:rFonts w:ascii="Tahoma" w:hAnsi="Tahoma" w:cs="Tahoma" w:hint="cs"/>
          <w:rtl/>
          <w:lang w:bidi="ar-EG"/>
        </w:rPr>
        <w:t>تتخذ</w:t>
      </w:r>
      <w:r w:rsidR="0036663C">
        <w:rPr>
          <w:rFonts w:ascii="Tahoma" w:hAnsi="Tahoma" w:cs="Tahoma" w:hint="cs"/>
          <w:rtl/>
          <w:lang w:bidi="ar-EG"/>
        </w:rPr>
        <w:t xml:space="preserve"> فيه إمارة أبوظبي خطواتها نحو التعافي.</w:t>
      </w:r>
      <w:r>
        <w:rPr>
          <w:rFonts w:ascii="Tahoma" w:hAnsi="Tahoma" w:cs="Tahoma" w:hint="cs"/>
          <w:b/>
          <w:i/>
          <w:rtl/>
        </w:rPr>
        <w:t>"</w:t>
      </w:r>
    </w:p>
    <w:p w14:paraId="2AA26B08" w14:textId="2F533183" w:rsidR="001148CF" w:rsidRPr="001148CF" w:rsidRDefault="001148CF" w:rsidP="0036663C">
      <w:pPr>
        <w:bidi/>
        <w:jc w:val="both"/>
        <w:rPr>
          <w:rFonts w:ascii="Tahoma" w:hAnsi="Tahoma" w:cs="Tahoma"/>
          <w:rtl/>
        </w:rPr>
      </w:pPr>
      <w:r w:rsidRPr="00297658">
        <w:rPr>
          <w:rFonts w:ascii="Tahoma" w:hAnsi="Tahoma" w:cs="Tahoma"/>
          <w:rtl/>
        </w:rPr>
        <w:lastRenderedPageBreak/>
        <w:t xml:space="preserve">أما </w:t>
      </w:r>
      <w:r w:rsidR="00F37A3B">
        <w:rPr>
          <w:rFonts w:ascii="Tahoma" w:hAnsi="Tahoma" w:cs="Tahoma"/>
          <w:b/>
          <w:bCs/>
          <w:rtl/>
        </w:rPr>
        <w:t>الدكتور شمشير فاياليل</w:t>
      </w:r>
      <w:r w:rsidR="00F37A3B">
        <w:rPr>
          <w:rFonts w:ascii="Tahoma" w:hAnsi="Tahoma" w:cs="Tahoma" w:hint="cs"/>
          <w:b/>
          <w:bCs/>
          <w:rtl/>
        </w:rPr>
        <w:t xml:space="preserve">، </w:t>
      </w:r>
      <w:r w:rsidR="00297658" w:rsidRPr="0036663C">
        <w:rPr>
          <w:rFonts w:ascii="Tahoma" w:hAnsi="Tahoma" w:cs="Tahoma"/>
          <w:b/>
          <w:bCs/>
          <w:rtl/>
        </w:rPr>
        <w:t>الرئيس التنفيذي والعضو المنتدب لمجموعة في بي إس للرعاية الصحية</w:t>
      </w:r>
      <w:r w:rsidR="0036663C">
        <w:rPr>
          <w:rFonts w:ascii="Tahoma" w:hAnsi="Tahoma" w:cs="Tahoma" w:hint="cs"/>
          <w:b/>
          <w:bCs/>
          <w:rtl/>
        </w:rPr>
        <w:t xml:space="preserve">، </w:t>
      </w:r>
      <w:r w:rsidR="0036663C">
        <w:rPr>
          <w:rFonts w:ascii="Tahoma" w:hAnsi="Tahoma" w:cs="Tahoma" w:hint="cs"/>
          <w:rtl/>
        </w:rPr>
        <w:t xml:space="preserve">فقال: "نحن فخورون بهذه الشراكة مع متحف اللوفر أبوظبي، أحد أبرز المواقع الثقافية في الإمارة. ستحرص مجموعة في بي إس ومستشفى برجيل على تقديم البيئة الأكثر أمناً لزوار المتحف وموظفيه. إذ إن إعادة فتح أبواب المتحف تشير إلى مدى فعالية الاستراتيجية التي اتبعتها حكومة دولة الإمارات العربية المتحدة في التعامل مع كوفيد-19. وقد </w:t>
      </w:r>
      <w:r w:rsidR="00290BD6">
        <w:rPr>
          <w:rFonts w:ascii="Tahoma" w:hAnsi="Tahoma" w:cs="Tahoma" w:hint="cs"/>
          <w:rtl/>
        </w:rPr>
        <w:t>عملت</w:t>
      </w:r>
      <w:r w:rsidR="0036663C">
        <w:rPr>
          <w:rFonts w:ascii="Tahoma" w:hAnsi="Tahoma" w:cs="Tahoma" w:hint="cs"/>
          <w:rtl/>
        </w:rPr>
        <w:t xml:space="preserve"> مجموعة في بي إس بشكل وثيق مع الهيئات الحكومية والصحية منذ انتشار الفيروس </w:t>
      </w:r>
      <w:r w:rsidR="00613C5B">
        <w:rPr>
          <w:rFonts w:ascii="Tahoma" w:hAnsi="Tahoma" w:cs="Tahoma" w:hint="cs"/>
          <w:rtl/>
        </w:rPr>
        <w:t>ل</w:t>
      </w:r>
      <w:r w:rsidR="0036663C">
        <w:rPr>
          <w:rFonts w:ascii="Tahoma" w:hAnsi="Tahoma" w:cs="Tahoma" w:hint="cs"/>
          <w:rtl/>
        </w:rPr>
        <w:t>لحد من</w:t>
      </w:r>
      <w:r w:rsidR="00613C5B">
        <w:rPr>
          <w:rFonts w:ascii="Tahoma" w:hAnsi="Tahoma" w:cs="Tahoma" w:hint="cs"/>
          <w:rtl/>
        </w:rPr>
        <w:t xml:space="preserve"> انتشاره</w:t>
      </w:r>
      <w:r w:rsidR="0036663C">
        <w:rPr>
          <w:rFonts w:ascii="Tahoma" w:hAnsi="Tahoma" w:cs="Tahoma" w:hint="cs"/>
          <w:rtl/>
        </w:rPr>
        <w:t>. ولا بد لي من الإشارة إلى أننا سنحرص على تسخير خبراتنا ومواردنا التي اكتسبناها من هذا العمل لنضم</w:t>
      </w:r>
      <w:r w:rsidR="007352B8">
        <w:rPr>
          <w:rFonts w:ascii="Tahoma" w:hAnsi="Tahoma" w:cs="Tahoma" w:hint="cs"/>
          <w:rtl/>
        </w:rPr>
        <w:t>ن</w:t>
      </w:r>
      <w:r w:rsidR="0036663C">
        <w:rPr>
          <w:rFonts w:ascii="Tahoma" w:hAnsi="Tahoma" w:cs="Tahoma" w:hint="cs"/>
          <w:rtl/>
        </w:rPr>
        <w:t xml:space="preserve"> لزوار المتحف وموظفيه تجربة آمنة."</w:t>
      </w:r>
    </w:p>
    <w:p w14:paraId="46C04089" w14:textId="29B8ABAA" w:rsidR="0099447C" w:rsidRDefault="0099447C" w:rsidP="001148CF">
      <w:pPr>
        <w:bidi/>
        <w:jc w:val="both"/>
        <w:rPr>
          <w:rFonts w:ascii="Tahoma" w:hAnsi="Tahoma" w:cs="Tahoma"/>
          <w:rtl/>
        </w:rPr>
      </w:pPr>
      <w:r>
        <w:rPr>
          <w:rFonts w:ascii="Tahoma" w:hAnsi="Tahoma" w:cs="Tahoma" w:hint="cs"/>
          <w:rtl/>
        </w:rPr>
        <w:t xml:space="preserve">ستقدم مجموعة </w:t>
      </w:r>
      <w:r w:rsidRPr="00B5665E">
        <w:rPr>
          <w:rFonts w:ascii="Tahoma" w:hAnsi="Tahoma" w:cs="Tahoma" w:hint="cs"/>
          <w:rtl/>
          <w:lang w:bidi="ar-EG"/>
        </w:rPr>
        <w:t>في بي إس</w:t>
      </w:r>
      <w:r>
        <w:rPr>
          <w:rFonts w:ascii="Tahoma" w:hAnsi="Tahoma" w:cs="Tahoma" w:hint="cs"/>
          <w:rtl/>
          <w:lang w:bidi="ar-EG"/>
        </w:rPr>
        <w:t xml:space="preserve"> العديد من المبادرات بما في ذلك إجراء فحوصات كوفيد-19 لموظفي المتحف، في إطار </w:t>
      </w:r>
      <w:r>
        <w:rPr>
          <w:rFonts w:ascii="Tahoma" w:hAnsi="Tahoma" w:cs="Tahoma"/>
          <w:rtl/>
          <w:lang w:bidi="ar-EG"/>
        </w:rPr>
        <w:t xml:space="preserve">برنامج المسح الوطني </w:t>
      </w:r>
      <w:r>
        <w:rPr>
          <w:rFonts w:ascii="Tahoma" w:hAnsi="Tahoma" w:cs="Tahoma" w:hint="cs"/>
          <w:rtl/>
          <w:lang w:bidi="ar-EG"/>
        </w:rPr>
        <w:t xml:space="preserve">الذي أطلقته </w:t>
      </w:r>
      <w:r w:rsidRPr="0099447C">
        <w:rPr>
          <w:rFonts w:ascii="Tahoma" w:hAnsi="Tahoma" w:cs="Tahoma"/>
          <w:rtl/>
          <w:lang w:bidi="ar-EG"/>
        </w:rPr>
        <w:t>حكومة الإمارات العربية المتحدة</w:t>
      </w:r>
      <w:r>
        <w:rPr>
          <w:rFonts w:ascii="Tahoma" w:hAnsi="Tahoma" w:cs="Tahoma" w:hint="cs"/>
          <w:rtl/>
          <w:lang w:bidi="ar-EG"/>
        </w:rPr>
        <w:t>.</w:t>
      </w:r>
    </w:p>
    <w:p w14:paraId="6E1150E8" w14:textId="0009089A" w:rsidR="00B5665E" w:rsidRPr="00CD20EC" w:rsidRDefault="007352B8" w:rsidP="00CD20EC">
      <w:pPr>
        <w:bidi/>
        <w:jc w:val="both"/>
        <w:rPr>
          <w:rFonts w:ascii="Tahoma" w:hAnsi="Tahoma" w:cs="Tahoma"/>
          <w:rtl/>
        </w:rPr>
      </w:pPr>
      <w:r>
        <w:rPr>
          <w:rFonts w:ascii="Tahoma" w:hAnsi="Tahoma" w:cs="Tahoma" w:hint="cs"/>
          <w:rtl/>
        </w:rPr>
        <w:t xml:space="preserve">إلى جانب ذلك، </w:t>
      </w:r>
      <w:r w:rsidR="00B5665E">
        <w:rPr>
          <w:rFonts w:ascii="Tahoma" w:hAnsi="Tahoma" w:cs="Tahoma" w:hint="cs"/>
          <w:rtl/>
        </w:rPr>
        <w:t xml:space="preserve">سيشرف ممرضون وممرضات من المجموعة على المسح الحراري لزوار المتحف </w:t>
      </w:r>
      <w:r>
        <w:rPr>
          <w:rFonts w:ascii="Tahoma" w:hAnsi="Tahoma" w:cs="Tahoma" w:hint="cs"/>
          <w:rtl/>
        </w:rPr>
        <w:t>و</w:t>
      </w:r>
      <w:r w:rsidR="00B5665E">
        <w:rPr>
          <w:rFonts w:ascii="Tahoma" w:hAnsi="Tahoma" w:cs="Tahoma" w:hint="cs"/>
          <w:rtl/>
        </w:rPr>
        <w:t xml:space="preserve">يساعدون في التخفيف من خطر كوفيد-19 من خلال إجراء عمليات تدقيق منتظمة </w:t>
      </w:r>
      <w:r w:rsidR="0099447C">
        <w:rPr>
          <w:rFonts w:ascii="Tahoma" w:hAnsi="Tahoma" w:cs="Tahoma" w:hint="cs"/>
          <w:rtl/>
        </w:rPr>
        <w:t>لضمان التزام المتحف بتوجيهات الصحة والسلامة التي أصدرتها دائرة الثقافة والسياحة- أبوظبي.</w:t>
      </w:r>
      <w:r w:rsidR="00B5665E">
        <w:rPr>
          <w:rFonts w:ascii="Tahoma" w:hAnsi="Tahoma" w:cs="Tahoma" w:hint="cs"/>
          <w:rtl/>
        </w:rPr>
        <w:t xml:space="preserve"> </w:t>
      </w:r>
    </w:p>
    <w:p w14:paraId="3A00AC97" w14:textId="1C1F7F65" w:rsidR="007C679D" w:rsidRPr="00CD20EC" w:rsidRDefault="00CD20EC" w:rsidP="006C7F88">
      <w:pPr>
        <w:bidi/>
        <w:jc w:val="both"/>
        <w:rPr>
          <w:rFonts w:ascii="Tahoma" w:hAnsi="Tahoma" w:cs="Tahoma"/>
          <w:lang w:val="en"/>
        </w:rPr>
      </w:pPr>
      <w:r>
        <w:rPr>
          <w:rFonts w:ascii="Tahoma" w:hAnsi="Tahoma" w:cs="Tahoma" w:hint="cs"/>
          <w:rtl/>
          <w:lang w:val="en"/>
        </w:rPr>
        <w:t xml:space="preserve">كما يفخر اللوفر أبوظبي بحصوله على </w:t>
      </w:r>
      <w:bookmarkStart w:id="0" w:name="_Hlk44512393"/>
      <w:r w:rsidRPr="00B5665E">
        <w:rPr>
          <w:rFonts w:ascii="Tahoma" w:hAnsi="Tahoma" w:cs="Tahoma"/>
          <w:rtl/>
          <w:lang w:val="en"/>
        </w:rPr>
        <w:t>"شهادة الأمان</w:t>
      </w:r>
      <w:r w:rsidR="00466616">
        <w:rPr>
          <w:rFonts w:ascii="Tahoma" w:hAnsi="Tahoma" w:cs="Tahoma" w:hint="cs"/>
          <w:rtl/>
          <w:lang w:val="en"/>
        </w:rPr>
        <w:t>" (</w:t>
      </w:r>
      <w:r w:rsidR="00466616">
        <w:rPr>
          <w:rFonts w:ascii="Tahoma" w:hAnsi="Tahoma" w:cs="Tahoma"/>
        </w:rPr>
        <w:t>Go Safe</w:t>
      </w:r>
      <w:r w:rsidR="00466616">
        <w:rPr>
          <w:rFonts w:ascii="Tahoma" w:hAnsi="Tahoma" w:cs="Tahoma" w:hint="cs"/>
          <w:rtl/>
          <w:lang w:bidi="ar-AE"/>
        </w:rPr>
        <w:t xml:space="preserve">) </w:t>
      </w:r>
      <w:r>
        <w:rPr>
          <w:rFonts w:ascii="Tahoma" w:hAnsi="Tahoma" w:cs="Tahoma" w:hint="cs"/>
          <w:rtl/>
          <w:lang w:val="en"/>
        </w:rPr>
        <w:t xml:space="preserve">التي أطلقتها دائرة الثقافة والسياحة- أبوظبي </w:t>
      </w:r>
      <w:r w:rsidRPr="00B5665E">
        <w:rPr>
          <w:rFonts w:ascii="Tahoma" w:hAnsi="Tahoma" w:cs="Tahoma"/>
          <w:rtl/>
          <w:lang w:val="en"/>
        </w:rPr>
        <w:t>لتطبيق أعلى معايير الصحة والسلامة</w:t>
      </w:r>
      <w:bookmarkEnd w:id="0"/>
      <w:r w:rsidRPr="00B5665E">
        <w:rPr>
          <w:rFonts w:ascii="Tahoma" w:hAnsi="Tahoma" w:cs="Tahoma"/>
          <w:rtl/>
          <w:lang w:val="en"/>
        </w:rPr>
        <w:t xml:space="preserve"> في مختلف الوجهات والمنشآت الفندقية والسياحية العاملة في الإمارة</w:t>
      </w:r>
      <w:r>
        <w:rPr>
          <w:rFonts w:ascii="Tahoma" w:hAnsi="Tahoma" w:cs="Tahoma" w:hint="cs"/>
          <w:rtl/>
          <w:lang w:val="en"/>
        </w:rPr>
        <w:t>.</w:t>
      </w:r>
      <w:r w:rsidRPr="00CD20EC">
        <w:rPr>
          <w:rFonts w:ascii="Tahoma" w:hAnsi="Tahoma" w:cs="Tahoma"/>
          <w:rtl/>
          <w:lang w:val="en"/>
        </w:rPr>
        <w:t xml:space="preserve"> </w:t>
      </w:r>
      <w:r>
        <w:rPr>
          <w:rFonts w:ascii="Tahoma" w:hAnsi="Tahoma" w:cs="Tahoma"/>
          <w:rtl/>
          <w:lang w:val="en"/>
        </w:rPr>
        <w:t xml:space="preserve">وبحسب البرنامج الأول من نوعه </w:t>
      </w:r>
      <w:r>
        <w:rPr>
          <w:rFonts w:ascii="Tahoma" w:hAnsi="Tahoma" w:cs="Tahoma" w:hint="cs"/>
          <w:rtl/>
          <w:lang w:val="en"/>
        </w:rPr>
        <w:t xml:space="preserve">في </w:t>
      </w:r>
      <w:r w:rsidRPr="00B5665E">
        <w:rPr>
          <w:rFonts w:ascii="Tahoma" w:hAnsi="Tahoma" w:cs="Tahoma"/>
          <w:rtl/>
          <w:lang w:val="en"/>
        </w:rPr>
        <w:t xml:space="preserve">المنطقة، يتعين على الوجهات </w:t>
      </w:r>
      <w:r w:rsidR="007352B8">
        <w:rPr>
          <w:rFonts w:ascii="Tahoma" w:hAnsi="Tahoma" w:cs="Tahoma" w:hint="cs"/>
          <w:rtl/>
          <w:lang w:val="en"/>
        </w:rPr>
        <w:t xml:space="preserve">مثل الفنادق والمراكز التجارية والوجهات الترفيهية والثقافية وغيرها من الأماكن العامة </w:t>
      </w:r>
      <w:r w:rsidRPr="00B5665E">
        <w:rPr>
          <w:rFonts w:ascii="Tahoma" w:hAnsi="Tahoma" w:cs="Tahoma"/>
          <w:rtl/>
          <w:lang w:val="en"/>
        </w:rPr>
        <w:t xml:space="preserve">إجراء تقييم ذاتي وفقاً للقواعد الإرشادية والمبادئ التوجيهية التي </w:t>
      </w:r>
      <w:r w:rsidR="006C7F88">
        <w:rPr>
          <w:rFonts w:ascii="Tahoma" w:hAnsi="Tahoma" w:cs="Tahoma" w:hint="cs"/>
          <w:rtl/>
          <w:lang w:val="en"/>
        </w:rPr>
        <w:t>حددتها</w:t>
      </w:r>
      <w:r w:rsidRPr="00B5665E">
        <w:rPr>
          <w:rFonts w:ascii="Tahoma" w:hAnsi="Tahoma" w:cs="Tahoma"/>
          <w:rtl/>
          <w:lang w:val="en"/>
        </w:rPr>
        <w:t xml:space="preserve"> دائرة</w:t>
      </w:r>
      <w:r w:rsidR="00466616">
        <w:rPr>
          <w:rFonts w:ascii="Tahoma" w:hAnsi="Tahoma" w:cs="Tahoma" w:hint="cs"/>
          <w:rtl/>
          <w:lang w:val="en"/>
        </w:rPr>
        <w:t xml:space="preserve"> الثقافة والسياحة</w:t>
      </w:r>
      <w:r w:rsidR="006C7F88">
        <w:rPr>
          <w:rFonts w:ascii="Tahoma" w:hAnsi="Tahoma" w:cs="Tahoma" w:hint="cs"/>
          <w:rtl/>
          <w:lang w:val="en"/>
        </w:rPr>
        <w:t xml:space="preserve"> - أبوظبي</w:t>
      </w:r>
      <w:r>
        <w:rPr>
          <w:rFonts w:ascii="Tahoma" w:hAnsi="Tahoma" w:cs="Tahoma" w:hint="cs"/>
          <w:rtl/>
          <w:lang w:val="en"/>
        </w:rPr>
        <w:t>.</w:t>
      </w:r>
      <w:r w:rsidR="00E07EDA">
        <w:t>‬</w:t>
      </w:r>
      <w:r w:rsidR="00E07EDA">
        <w:t>‬</w:t>
      </w:r>
    </w:p>
    <w:p w14:paraId="662BEA8F" w14:textId="474DDCF5" w:rsidR="00A13622" w:rsidRPr="00B5665E" w:rsidRDefault="00A13622" w:rsidP="00B5665E">
      <w:pPr>
        <w:spacing w:line="240" w:lineRule="auto"/>
        <w:jc w:val="center"/>
        <w:rPr>
          <w:rFonts w:ascii="Tahoma" w:hAnsi="Tahoma" w:cs="Tahoma"/>
          <w:noProof/>
        </w:rPr>
      </w:pPr>
      <w:r w:rsidRPr="00B5665E">
        <w:rPr>
          <w:rFonts w:ascii="Tahoma" w:hAnsi="Tahoma" w:cs="Tahoma"/>
          <w:noProof/>
        </w:rPr>
        <w:t>-</w:t>
      </w:r>
      <w:r w:rsidR="00B5665E">
        <w:rPr>
          <w:rFonts w:ascii="Tahoma" w:hAnsi="Tahoma" w:cs="Tahoma" w:hint="cs"/>
          <w:b/>
          <w:bCs/>
          <w:noProof/>
          <w:rtl/>
        </w:rPr>
        <w:t>انتهى</w:t>
      </w:r>
      <w:r w:rsidRPr="00B5665E">
        <w:rPr>
          <w:rFonts w:ascii="Tahoma" w:hAnsi="Tahoma" w:cs="Tahoma"/>
          <w:noProof/>
        </w:rPr>
        <w:t>-</w:t>
      </w:r>
    </w:p>
    <w:p w14:paraId="3DD2581A" w14:textId="77777777" w:rsidR="00A13622" w:rsidRPr="00B5665E" w:rsidRDefault="00A13622" w:rsidP="00A13622">
      <w:pPr>
        <w:spacing w:line="240" w:lineRule="auto"/>
        <w:jc w:val="both"/>
        <w:rPr>
          <w:rFonts w:ascii="Tahoma" w:hAnsi="Tahoma" w:cs="Tahoma"/>
          <w:noProof/>
        </w:rPr>
      </w:pPr>
    </w:p>
    <w:p w14:paraId="56F75A46" w14:textId="77777777" w:rsidR="007C679D" w:rsidRPr="00B5665E" w:rsidRDefault="007C679D" w:rsidP="00A13622">
      <w:pPr>
        <w:spacing w:line="240" w:lineRule="auto"/>
        <w:jc w:val="both"/>
        <w:rPr>
          <w:rFonts w:ascii="Tahoma" w:eastAsia="Calibri" w:hAnsi="Tahoma" w:cs="Tahoma"/>
          <w:b/>
        </w:rPr>
      </w:pPr>
    </w:p>
    <w:p w14:paraId="55625BBE" w14:textId="77777777" w:rsidR="00297658" w:rsidRPr="00297658" w:rsidRDefault="00297658" w:rsidP="00297658">
      <w:pPr>
        <w:bidi/>
        <w:spacing w:line="276" w:lineRule="auto"/>
        <w:jc w:val="both"/>
        <w:rPr>
          <w:rFonts w:ascii="Tahoma" w:hAnsi="Tahoma" w:cs="Tahoma"/>
          <w:b/>
          <w:bCs/>
          <w:rtl/>
        </w:rPr>
      </w:pPr>
      <w:r w:rsidRPr="00297658">
        <w:rPr>
          <w:rFonts w:ascii="Tahoma" w:hAnsi="Tahoma" w:cs="Tahoma"/>
          <w:b/>
          <w:bCs/>
          <w:rtl/>
        </w:rPr>
        <w:t>معلومات للمحرر</w:t>
      </w:r>
    </w:p>
    <w:p w14:paraId="39666409" w14:textId="77777777" w:rsidR="00297658" w:rsidRPr="00297658" w:rsidRDefault="00297658" w:rsidP="00297658">
      <w:pPr>
        <w:bidi/>
        <w:spacing w:line="276" w:lineRule="auto"/>
        <w:jc w:val="both"/>
        <w:rPr>
          <w:rFonts w:ascii="Tahoma" w:hAnsi="Tahoma" w:cs="Tahoma"/>
          <w:b/>
          <w:bCs/>
          <w:rtl/>
        </w:rPr>
      </w:pPr>
    </w:p>
    <w:p w14:paraId="28188935" w14:textId="7BCFFE4D" w:rsidR="00297658" w:rsidRDefault="00297658" w:rsidP="00297658">
      <w:pPr>
        <w:bidi/>
        <w:spacing w:line="276" w:lineRule="auto"/>
        <w:jc w:val="both"/>
        <w:rPr>
          <w:rFonts w:ascii="Tahoma" w:hAnsi="Tahoma" w:cs="Tahoma"/>
          <w:rtl/>
        </w:rPr>
      </w:pPr>
      <w:r w:rsidRPr="00297658">
        <w:rPr>
          <w:rFonts w:ascii="Tahoma" w:hAnsi="Tahoma" w:cs="Tahoma" w:hint="cs"/>
          <w:rtl/>
        </w:rPr>
        <w:t xml:space="preserve">يمكنكم متابعة </w:t>
      </w:r>
      <w:r w:rsidRPr="00297658">
        <w:rPr>
          <w:rFonts w:ascii="Tahoma" w:hAnsi="Tahoma" w:cs="Tahoma"/>
          <w:rtl/>
        </w:rPr>
        <w:t>حسابات متحف اللوفر أبوظبي على منصات التواصل الاجتماعي التالية: فيسبوك</w:t>
      </w:r>
      <w:r w:rsidRPr="00297658">
        <w:rPr>
          <w:rFonts w:ascii="Tahoma" w:hAnsi="Tahoma" w:cs="Tahoma"/>
        </w:rPr>
        <w:t xml:space="preserve"> Louvre Abu Dhabi</w:t>
      </w:r>
      <w:r w:rsidRPr="00297658">
        <w:rPr>
          <w:rFonts w:ascii="Tahoma" w:hAnsi="Tahoma" w:cs="Tahoma"/>
          <w:rtl/>
        </w:rPr>
        <w:t>، وتويتر</w:t>
      </w:r>
      <w:r w:rsidRPr="00297658">
        <w:rPr>
          <w:rFonts w:ascii="Tahoma" w:hAnsi="Tahoma" w:cs="Tahoma"/>
        </w:rPr>
        <w:t xml:space="preserve"> @LouvreAbuDhabi </w:t>
      </w:r>
      <w:r w:rsidRPr="00297658">
        <w:rPr>
          <w:rFonts w:ascii="Tahoma" w:hAnsi="Tahoma" w:cs="Tahoma"/>
          <w:rtl/>
        </w:rPr>
        <w:t>و</w:t>
      </w:r>
      <w:r w:rsidRPr="00297658">
        <w:rPr>
          <w:rFonts w:ascii="Tahoma" w:hAnsi="Tahoma" w:cs="Tahoma" w:hint="cs"/>
          <w:rtl/>
        </w:rPr>
        <w:t>إ</w:t>
      </w:r>
      <w:r w:rsidRPr="00297658">
        <w:rPr>
          <w:rFonts w:ascii="Tahoma" w:hAnsi="Tahoma" w:cs="Tahoma"/>
          <w:rtl/>
        </w:rPr>
        <w:t>نستغرام</w:t>
      </w:r>
      <w:r w:rsidRPr="00297658">
        <w:rPr>
          <w:rFonts w:ascii="Tahoma" w:hAnsi="Tahoma" w:cs="Tahoma"/>
        </w:rPr>
        <w:t xml:space="preserve"> @LouvreAbuDhabi </w:t>
      </w:r>
      <w:r w:rsidRPr="00297658">
        <w:rPr>
          <w:rFonts w:ascii="Tahoma" w:hAnsi="Tahoma" w:cs="Tahoma" w:hint="cs"/>
          <w:rtl/>
        </w:rPr>
        <w:t xml:space="preserve">واستخدام الوسم </w:t>
      </w:r>
      <w:r w:rsidRPr="00297658">
        <w:rPr>
          <w:rFonts w:ascii="Tahoma" w:hAnsi="Tahoma" w:cs="Tahoma"/>
        </w:rPr>
        <w:t>#LouvreAbuDhabi</w:t>
      </w:r>
    </w:p>
    <w:p w14:paraId="755BD08C" w14:textId="5E5C7F5F" w:rsidR="00297658" w:rsidRDefault="00297658" w:rsidP="00297658">
      <w:pPr>
        <w:bidi/>
        <w:spacing w:line="276" w:lineRule="auto"/>
        <w:jc w:val="both"/>
        <w:rPr>
          <w:rFonts w:ascii="Tahoma" w:hAnsi="Tahoma" w:cs="Tahoma"/>
          <w:rtl/>
        </w:rPr>
      </w:pPr>
    </w:p>
    <w:p w14:paraId="1D8F4ABD" w14:textId="07DBA0B2" w:rsidR="00297658" w:rsidRDefault="00297658" w:rsidP="00297658">
      <w:pPr>
        <w:bidi/>
        <w:spacing w:line="276" w:lineRule="auto"/>
        <w:jc w:val="both"/>
        <w:rPr>
          <w:rFonts w:ascii="Tahoma" w:hAnsi="Tahoma" w:cs="Tahoma"/>
          <w:b/>
          <w:bCs/>
          <w:rtl/>
          <w:lang w:bidi="ar-AE"/>
        </w:rPr>
      </w:pPr>
      <w:r w:rsidRPr="00297658">
        <w:rPr>
          <w:rFonts w:ascii="Tahoma" w:hAnsi="Tahoma" w:cs="Tahoma" w:hint="cs"/>
          <w:b/>
          <w:bCs/>
          <w:rtl/>
          <w:lang w:bidi="ar-AE"/>
        </w:rPr>
        <w:t>معلومات للزوار</w:t>
      </w:r>
    </w:p>
    <w:p w14:paraId="0FB07C52" w14:textId="7DFBD936" w:rsidR="007352B8" w:rsidRDefault="007352B8" w:rsidP="007352B8">
      <w:pPr>
        <w:bidi/>
        <w:spacing w:line="276" w:lineRule="auto"/>
        <w:jc w:val="both"/>
        <w:rPr>
          <w:rFonts w:ascii="Tahoma" w:hAnsi="Tahoma" w:cs="Tahoma"/>
          <w:b/>
          <w:bCs/>
          <w:rtl/>
          <w:lang w:bidi="ar-AE"/>
        </w:rPr>
      </w:pPr>
      <w:r>
        <w:rPr>
          <w:rFonts w:ascii="Tahoma" w:hAnsi="Tahoma" w:cs="Tahoma" w:hint="cs"/>
          <w:b/>
          <w:bCs/>
          <w:rtl/>
          <w:lang w:bidi="ar-AE"/>
        </w:rPr>
        <w:t>تدابير الصحة والسلامة</w:t>
      </w:r>
    </w:p>
    <w:p w14:paraId="613C8956" w14:textId="403F180E" w:rsidR="007352B8" w:rsidRDefault="007352B8" w:rsidP="00466616">
      <w:pPr>
        <w:bidi/>
        <w:spacing w:line="276" w:lineRule="auto"/>
        <w:jc w:val="both"/>
        <w:rPr>
          <w:rFonts w:ascii="Tahoma" w:hAnsi="Tahoma" w:cs="Tahoma"/>
          <w:rtl/>
          <w:lang w:bidi="ar-AE"/>
        </w:rPr>
      </w:pPr>
      <w:r>
        <w:rPr>
          <w:rFonts w:ascii="Tahoma" w:hAnsi="Tahoma" w:cs="Tahoma" w:hint="cs"/>
          <w:rtl/>
          <w:lang w:bidi="ar-AE"/>
        </w:rPr>
        <w:t>تشمل التدابير:</w:t>
      </w:r>
    </w:p>
    <w:p w14:paraId="743DD672" w14:textId="2FAD8744" w:rsidR="007352B8" w:rsidRDefault="007352B8" w:rsidP="007352B8">
      <w:pPr>
        <w:pStyle w:val="ListParagraph"/>
        <w:numPr>
          <w:ilvl w:val="0"/>
          <w:numId w:val="46"/>
        </w:numPr>
        <w:bidi/>
        <w:spacing w:line="276" w:lineRule="auto"/>
        <w:jc w:val="both"/>
        <w:rPr>
          <w:rFonts w:ascii="Tahoma" w:hAnsi="Tahoma" w:cs="Tahoma"/>
        </w:rPr>
      </w:pPr>
      <w:r>
        <w:rPr>
          <w:rFonts w:ascii="Tahoma" w:hAnsi="Tahoma" w:cs="Tahoma" w:hint="cs"/>
          <w:rtl/>
        </w:rPr>
        <w:t>يمكن حجز التذاكر فقط عبر الموقع الإلكتروني للمتحف، ولا بد من حجز وقت محدد للزيارة. عند زيارة المتحف يمكن للزوار البقاء لمدة 3 ساعات.</w:t>
      </w:r>
    </w:p>
    <w:p w14:paraId="2F2B0390" w14:textId="4E1B41DF" w:rsidR="007352B8" w:rsidRDefault="007352B8" w:rsidP="007352B8">
      <w:pPr>
        <w:pStyle w:val="ListParagraph"/>
        <w:numPr>
          <w:ilvl w:val="0"/>
          <w:numId w:val="46"/>
        </w:numPr>
        <w:bidi/>
        <w:spacing w:line="276" w:lineRule="auto"/>
        <w:jc w:val="both"/>
        <w:rPr>
          <w:rFonts w:ascii="Tahoma" w:hAnsi="Tahoma" w:cs="Tahoma"/>
        </w:rPr>
      </w:pPr>
      <w:r>
        <w:rPr>
          <w:rFonts w:ascii="Tahoma" w:hAnsi="Tahoma" w:cs="Tahoma" w:hint="cs"/>
          <w:rtl/>
        </w:rPr>
        <w:t>أوقات العمل الجديدة: 10:00 صباحاً إلى 6:30 مساءً. يُغلق المتحف أبوابه أيام الإثنين. يُسجل آخر دخول الساعة 5:30 مساءً.</w:t>
      </w:r>
    </w:p>
    <w:p w14:paraId="06BADFC2" w14:textId="6F5AA575" w:rsidR="007352B8" w:rsidRDefault="007352B8" w:rsidP="007352B8">
      <w:pPr>
        <w:pStyle w:val="ListParagraph"/>
        <w:numPr>
          <w:ilvl w:val="0"/>
          <w:numId w:val="46"/>
        </w:numPr>
        <w:bidi/>
        <w:spacing w:line="276" w:lineRule="auto"/>
        <w:jc w:val="both"/>
        <w:rPr>
          <w:rFonts w:ascii="Tahoma" w:hAnsi="Tahoma" w:cs="Tahoma"/>
        </w:rPr>
      </w:pPr>
      <w:r>
        <w:rPr>
          <w:rFonts w:ascii="Tahoma" w:hAnsi="Tahoma" w:cs="Tahoma" w:hint="cs"/>
          <w:rtl/>
        </w:rPr>
        <w:t>يُسمح بدخول عدد محدود من الزوار إلى المتحف للحفاظ على التباعد الاجتماعي.</w:t>
      </w:r>
    </w:p>
    <w:p w14:paraId="038A64F5" w14:textId="003CC707" w:rsidR="007352B8" w:rsidRDefault="007352B8" w:rsidP="007352B8">
      <w:pPr>
        <w:pStyle w:val="ListParagraph"/>
        <w:numPr>
          <w:ilvl w:val="0"/>
          <w:numId w:val="46"/>
        </w:numPr>
        <w:bidi/>
        <w:spacing w:line="276" w:lineRule="auto"/>
        <w:jc w:val="both"/>
        <w:rPr>
          <w:rFonts w:ascii="Tahoma" w:hAnsi="Tahoma" w:cs="Tahoma"/>
        </w:rPr>
      </w:pPr>
      <w:r>
        <w:rPr>
          <w:rFonts w:ascii="Tahoma" w:hAnsi="Tahoma" w:cs="Tahoma" w:hint="cs"/>
          <w:rtl/>
        </w:rPr>
        <w:t>يخضع جميع الزوار للمسح الحراري.</w:t>
      </w:r>
    </w:p>
    <w:p w14:paraId="36AC088C" w14:textId="58FE5379" w:rsidR="007352B8" w:rsidRDefault="007352B8" w:rsidP="007352B8">
      <w:pPr>
        <w:pStyle w:val="ListParagraph"/>
        <w:numPr>
          <w:ilvl w:val="0"/>
          <w:numId w:val="46"/>
        </w:numPr>
        <w:bidi/>
        <w:spacing w:line="276" w:lineRule="auto"/>
        <w:jc w:val="both"/>
        <w:rPr>
          <w:rFonts w:ascii="Tahoma" w:hAnsi="Tahoma" w:cs="Tahoma"/>
        </w:rPr>
      </w:pPr>
      <w:r>
        <w:rPr>
          <w:rFonts w:ascii="Tahoma" w:hAnsi="Tahoma" w:cs="Tahoma" w:hint="cs"/>
          <w:rtl/>
        </w:rPr>
        <w:t>يجب على جميع الزوار ارتداء القفازات والكمامات طوال مدة الزيارة.</w:t>
      </w:r>
    </w:p>
    <w:p w14:paraId="2FD52652" w14:textId="1456AC88" w:rsidR="007352B8" w:rsidRDefault="007352B8" w:rsidP="007352B8">
      <w:pPr>
        <w:pStyle w:val="ListParagraph"/>
        <w:numPr>
          <w:ilvl w:val="0"/>
          <w:numId w:val="46"/>
        </w:numPr>
        <w:bidi/>
        <w:spacing w:line="276" w:lineRule="auto"/>
        <w:jc w:val="both"/>
        <w:rPr>
          <w:rFonts w:ascii="Tahoma" w:hAnsi="Tahoma" w:cs="Tahoma"/>
        </w:rPr>
      </w:pPr>
      <w:r>
        <w:rPr>
          <w:rFonts w:ascii="Tahoma" w:hAnsi="Tahoma" w:cs="Tahoma" w:hint="cs"/>
          <w:rtl/>
        </w:rPr>
        <w:t>الدفع بالبطاقات أو بالدفع الذكي عبر الهاتف المحمول فقط في جميع أنحاء المتحف.</w:t>
      </w:r>
    </w:p>
    <w:p w14:paraId="5C25A9C2" w14:textId="5B25581B" w:rsidR="007352B8" w:rsidRPr="007352B8" w:rsidRDefault="007352B8" w:rsidP="007352B8">
      <w:pPr>
        <w:bidi/>
        <w:spacing w:line="276" w:lineRule="auto"/>
        <w:jc w:val="both"/>
        <w:rPr>
          <w:rFonts w:ascii="Tahoma" w:hAnsi="Tahoma" w:cs="Tahoma"/>
          <w:rtl/>
        </w:rPr>
      </w:pPr>
      <w:r>
        <w:rPr>
          <w:rFonts w:ascii="Tahoma" w:hAnsi="Tahoma" w:cs="Tahoma" w:hint="cs"/>
          <w:rtl/>
        </w:rPr>
        <w:lastRenderedPageBreak/>
        <w:t xml:space="preserve">للاطلاع على اللائحة الكاملة لتدابير الصحة والسلامة ولمزيد من المعلومات حول حجز التذاكر، يُرجى زيارة: </w:t>
      </w:r>
      <w:hyperlink r:id="rId12" w:history="1">
        <w:r>
          <w:rPr>
            <w:rStyle w:val="Hyperlink"/>
          </w:rPr>
          <w:t>https://www.louvreabudhabi.ae/ar/visit/plan-your-visit</w:t>
        </w:r>
      </w:hyperlink>
      <w:r>
        <w:rPr>
          <w:rFonts w:hint="cs"/>
          <w:rtl/>
        </w:rPr>
        <w:t xml:space="preserve"> </w:t>
      </w:r>
    </w:p>
    <w:p w14:paraId="7C85D334" w14:textId="77777777" w:rsidR="00E07EDA" w:rsidRDefault="00E07EDA" w:rsidP="00297658">
      <w:pPr>
        <w:bidi/>
        <w:spacing w:line="276" w:lineRule="auto"/>
        <w:jc w:val="both"/>
        <w:rPr>
          <w:rFonts w:ascii="Tahoma" w:hAnsi="Tahoma" w:cs="Tahoma"/>
          <w:b/>
          <w:iCs/>
          <w:rtl/>
        </w:rPr>
      </w:pPr>
    </w:p>
    <w:p w14:paraId="4C4FDAD5" w14:textId="6BDC4667" w:rsidR="00297658" w:rsidRPr="009A3DE3" w:rsidRDefault="00297658" w:rsidP="00E07EDA">
      <w:pPr>
        <w:bidi/>
        <w:spacing w:line="276" w:lineRule="auto"/>
        <w:jc w:val="both"/>
        <w:rPr>
          <w:rFonts w:ascii="Tahoma" w:hAnsi="Tahoma" w:cs="Tahoma"/>
          <w:b/>
          <w:bCs/>
          <w:rtl/>
        </w:rPr>
      </w:pPr>
      <w:r w:rsidRPr="009A3DE3">
        <w:rPr>
          <w:rFonts w:ascii="Tahoma" w:hAnsi="Tahoma" w:cs="Tahoma"/>
          <w:b/>
          <w:bCs/>
          <w:rtl/>
        </w:rPr>
        <w:t>نبذة عن متحف اللوفر أبوظبي</w:t>
      </w:r>
    </w:p>
    <w:p w14:paraId="2E8B0741" w14:textId="77777777" w:rsidR="00297658" w:rsidRPr="009A3DE3" w:rsidRDefault="00297658" w:rsidP="00297658">
      <w:pPr>
        <w:bidi/>
        <w:spacing w:line="276" w:lineRule="auto"/>
        <w:jc w:val="both"/>
        <w:rPr>
          <w:rFonts w:ascii="Tahoma" w:hAnsi="Tahoma" w:cs="Tahoma"/>
          <w:rtl/>
        </w:rPr>
      </w:pPr>
      <w:r w:rsidRPr="009A3DE3">
        <w:rPr>
          <w:rFonts w:ascii="Tahoma" w:hAnsi="Tahoma" w:cs="Tahoma"/>
          <w:rtl/>
        </w:rPr>
        <w:t>أتى متحف اللوفر أبوظبي ثمرة اتفاق استثنائي عُقد بين حكومتي أبوظبي وفرنسا، وقد عمل على تصميمه المهندس المعماري جان نوفيل، وفتح أبوابه أمام الجمهور في جزيرة السعديات في نوفمبر 2017. إن تصميم المتحف مستوحى من العمارة الإسلامية التقليدية، كما أن الضوء يتسلل من قبته الضخمة لينثر شعاع النور. وقد تحوّل المتحف، منذ عامه الأول، إلى مساحة اجتماعية فريدة تجمع الزوار في جو فني وثقافي.</w:t>
      </w:r>
      <w:r w:rsidRPr="009A3DE3">
        <w:rPr>
          <w:rFonts w:ascii="Tahoma" w:hAnsi="Tahoma" w:cs="Tahoma"/>
        </w:rPr>
        <w:t xml:space="preserve"> </w:t>
      </w:r>
    </w:p>
    <w:p w14:paraId="26A21557" w14:textId="77777777" w:rsidR="00297658" w:rsidRPr="009A3DE3" w:rsidRDefault="00297658" w:rsidP="00297658">
      <w:pPr>
        <w:bidi/>
        <w:spacing w:line="276" w:lineRule="auto"/>
        <w:jc w:val="both"/>
        <w:rPr>
          <w:rFonts w:ascii="Tahoma" w:hAnsi="Tahoma" w:cs="Tahoma"/>
          <w:rtl/>
        </w:rPr>
      </w:pPr>
    </w:p>
    <w:p w14:paraId="33198472" w14:textId="77777777" w:rsidR="00297658" w:rsidRPr="009A3DE3" w:rsidRDefault="00297658" w:rsidP="00297658">
      <w:pPr>
        <w:bidi/>
        <w:spacing w:line="276" w:lineRule="auto"/>
        <w:jc w:val="both"/>
        <w:rPr>
          <w:rFonts w:ascii="Tahoma" w:hAnsi="Tahoma" w:cs="Tahoma"/>
          <w:rtl/>
        </w:rPr>
      </w:pPr>
      <w:r w:rsidRPr="009A3DE3">
        <w:rPr>
          <w:rFonts w:ascii="Tahoma" w:hAnsi="Tahoma" w:cs="Tahoma"/>
          <w:rtl/>
        </w:rPr>
        <w:t>يحتفل متحف اللوفر أبوظبي بالإبداع العالمي للبشرية ويدعو الجماهير إلى تأمّل جوهر الإنسانية بعيون التاريخ. وهو يركّز، من خلال منهج استحواذ الأعمال وتنظيم المعارض، على خلق حوار عبر الثقافات، وذلك عبر قصص الإبداع البشري التي تتجاوز الحضارات والمكان والزمان</w:t>
      </w:r>
      <w:r w:rsidRPr="009A3DE3">
        <w:rPr>
          <w:rFonts w:ascii="Tahoma" w:hAnsi="Tahoma" w:cs="Tahoma"/>
        </w:rPr>
        <w:t>.</w:t>
      </w:r>
    </w:p>
    <w:p w14:paraId="74FADB15" w14:textId="77777777" w:rsidR="00297658" w:rsidRPr="009A3DE3" w:rsidRDefault="00297658" w:rsidP="00297658">
      <w:pPr>
        <w:bidi/>
        <w:spacing w:line="276" w:lineRule="auto"/>
        <w:jc w:val="both"/>
        <w:rPr>
          <w:rFonts w:ascii="Tahoma" w:hAnsi="Tahoma" w:cs="Tahoma"/>
          <w:rtl/>
        </w:rPr>
      </w:pPr>
    </w:p>
    <w:p w14:paraId="471BE1E7" w14:textId="49DB76B7" w:rsidR="00297658" w:rsidRPr="00297658" w:rsidRDefault="00297658" w:rsidP="00297658">
      <w:pPr>
        <w:bidi/>
        <w:spacing w:line="276" w:lineRule="auto"/>
        <w:jc w:val="both"/>
        <w:rPr>
          <w:rFonts w:ascii="Tahoma" w:hAnsi="Tahoma" w:cs="Tahoma"/>
          <w:rtl/>
        </w:rPr>
      </w:pPr>
      <w:r w:rsidRPr="009A3DE3">
        <w:rPr>
          <w:rFonts w:ascii="Tahoma" w:hAnsi="Tahoma" w:cs="Tahoma"/>
          <w:rtl/>
        </w:rPr>
        <w:t>ويمتلك المتحف مجموعة فنية منقطعة النظير في المنطقة تغطي آلاف السنين من التاريخ الإنساني، وهي تشمل أدوات أثرية من عصور ما قبل التاريخ، وغيرها من القطع الأثرية والنصوص الدينية واللوحات التاريخية والمنحوتات المعاصرة. وتدعم مجموعة المقتنيات الدائمة تشكيلة من الأعمال المُعارة من قبل شركاء المتحف، 13 مؤسسة ثقافية ومتحفاً عالمياً من فرن</w:t>
      </w:r>
      <w:r>
        <w:rPr>
          <w:rFonts w:ascii="Tahoma" w:hAnsi="Tahoma" w:cs="Tahoma"/>
          <w:rtl/>
        </w:rPr>
        <w:t>س</w:t>
      </w:r>
      <w:r>
        <w:rPr>
          <w:rFonts w:ascii="Tahoma" w:hAnsi="Tahoma" w:cs="Tahoma" w:hint="cs"/>
          <w:rtl/>
        </w:rPr>
        <w:t>ا.</w:t>
      </w:r>
      <w:r w:rsidRPr="009A3DE3">
        <w:rPr>
          <w:rFonts w:ascii="Tahoma" w:hAnsi="Tahoma" w:cs="Tahoma"/>
        </w:rPr>
        <w:t xml:space="preserve"> </w:t>
      </w:r>
    </w:p>
    <w:p w14:paraId="13B62DA4" w14:textId="03661C75" w:rsidR="00297658" w:rsidRDefault="00297658" w:rsidP="00297658">
      <w:pPr>
        <w:bidi/>
        <w:spacing w:line="276" w:lineRule="auto"/>
        <w:jc w:val="both"/>
        <w:rPr>
          <w:rFonts w:ascii="Tahoma" w:hAnsi="Tahoma" w:cs="Tahoma"/>
          <w:rtl/>
        </w:rPr>
      </w:pPr>
      <w:r w:rsidRPr="009A3DE3">
        <w:rPr>
          <w:rFonts w:ascii="Tahoma" w:hAnsi="Tahoma" w:cs="Tahoma"/>
          <w:rtl/>
        </w:rPr>
        <w:t>ويُعد اللوفر أبوظبي منصّة لاختبار الأفكار الجديدة في عالم تسوده العولمة، كما يدعم نمو الأجيال القادمة من المواهب وروّاد الثقافة. ويقدم المتحف مجموعة واسعة من فرص التعلّم والمشاركة والترفيه عبر معارضه الدولية وبرامجه ومتحفه الخاص بالأطفال</w:t>
      </w:r>
      <w:r w:rsidRPr="009A3DE3">
        <w:rPr>
          <w:rFonts w:ascii="Tahoma" w:hAnsi="Tahoma" w:cs="Tahoma"/>
        </w:rPr>
        <w:t>.</w:t>
      </w:r>
    </w:p>
    <w:p w14:paraId="7F5E5D09" w14:textId="77777777" w:rsidR="00297658" w:rsidRDefault="00297658" w:rsidP="00297658">
      <w:pPr>
        <w:bidi/>
        <w:spacing w:line="276" w:lineRule="auto"/>
        <w:jc w:val="both"/>
        <w:rPr>
          <w:rFonts w:ascii="Tahoma" w:hAnsi="Tahoma" w:cs="Tahoma"/>
          <w:rtl/>
        </w:rPr>
      </w:pPr>
    </w:p>
    <w:p w14:paraId="7DFD777B" w14:textId="3696D230" w:rsidR="00297658" w:rsidRPr="00297658" w:rsidRDefault="00297658" w:rsidP="00297658">
      <w:pPr>
        <w:bidi/>
        <w:jc w:val="both"/>
        <w:rPr>
          <w:rFonts w:ascii="Tahoma" w:hAnsi="Tahoma" w:cs="Tahoma"/>
          <w:b/>
          <w:bCs/>
          <w:rtl/>
          <w:lang w:bidi="ar-EG"/>
        </w:rPr>
      </w:pPr>
      <w:r w:rsidRPr="00297658">
        <w:rPr>
          <w:rFonts w:ascii="Tahoma" w:hAnsi="Tahoma" w:cs="Tahoma"/>
          <w:b/>
          <w:bCs/>
          <w:rtl/>
          <w:lang w:bidi="ar-EG"/>
        </w:rPr>
        <w:t>نبذة عن مجموعة في بي إس للرعاية الصحية</w:t>
      </w:r>
    </w:p>
    <w:p w14:paraId="7FDD9AF9" w14:textId="1F3F3599" w:rsidR="00297658" w:rsidRDefault="00297658" w:rsidP="00297658">
      <w:pPr>
        <w:bidi/>
        <w:jc w:val="both"/>
        <w:rPr>
          <w:rFonts w:ascii="Tahoma" w:hAnsi="Tahoma" w:cs="Tahoma"/>
          <w:rtl/>
          <w:lang w:bidi="ar-EG"/>
        </w:rPr>
      </w:pPr>
      <w:r w:rsidRPr="00297658">
        <w:rPr>
          <w:rFonts w:ascii="Tahoma" w:hAnsi="Tahoma" w:cs="Tahoma"/>
          <w:rtl/>
          <w:lang w:bidi="ar-EG"/>
        </w:rPr>
        <w:t>في بي إس للرعاية الصحية مجموعة متخصصة في تقديم الرعاية الصحية المتكاملة، وتضم 24 مستشفًى وأكثر من 125 مركزاً طبياً يعمل بها أكثر من 13000 موظفٍ لتقديم خدمات الدعم الطبي في جميع أنحاء منطقة الخليج العربي والهند. علاوة على ذلك، تمتلك المجموعة أحد أكبر منشآت تصنيع الأدوية في دبي، وسلسلة من أكبر الصيدليات في أبو ظبي. وتسعى المجموعة إلى توفير أفضل خدمة شاملة للمرضى وفقاً لأعلى معايير الجودة العالمية في منطقة الشرق الأوسط وشمال إفريقيا وخارجها، بما يخدم كافة شرائح المجتمع، وبذلك تعكس في بي إس للرعاية الصحية صورة لعلامة تجارية تحقق التميز في مجال تقديم الرعاية الصحية.</w:t>
      </w:r>
    </w:p>
    <w:p w14:paraId="56F7F311" w14:textId="0134ADC5" w:rsidR="00297658" w:rsidRDefault="00297658" w:rsidP="00297658">
      <w:pPr>
        <w:bidi/>
        <w:jc w:val="both"/>
        <w:rPr>
          <w:rFonts w:ascii="Tahoma" w:hAnsi="Tahoma" w:cs="Tahoma"/>
          <w:rtl/>
          <w:lang w:bidi="ar-EG"/>
        </w:rPr>
      </w:pPr>
    </w:p>
    <w:p w14:paraId="24A87BED" w14:textId="77777777" w:rsidR="00297658" w:rsidRPr="009A3DE3" w:rsidRDefault="00297658" w:rsidP="00297658">
      <w:pPr>
        <w:shd w:val="clear" w:color="auto" w:fill="FFFFFF" w:themeFill="background1"/>
        <w:bidi/>
        <w:jc w:val="both"/>
        <w:rPr>
          <w:rFonts w:ascii="Tahoma" w:hAnsi="Tahoma" w:cs="Tahoma"/>
          <w:b/>
          <w:bCs/>
          <w:rtl/>
        </w:rPr>
      </w:pPr>
      <w:r w:rsidRPr="009A3DE3">
        <w:rPr>
          <w:rFonts w:ascii="Tahoma" w:hAnsi="Tahoma" w:cs="Tahoma"/>
          <w:b/>
          <w:bCs/>
          <w:rtl/>
        </w:rPr>
        <w:t>نبذة عن متحف اللوفر</w:t>
      </w:r>
    </w:p>
    <w:p w14:paraId="5CFB02D5" w14:textId="22F1305E" w:rsidR="00297658" w:rsidRPr="00297658" w:rsidRDefault="00297658" w:rsidP="00297658">
      <w:pPr>
        <w:shd w:val="clear" w:color="auto" w:fill="FFFFFF" w:themeFill="background1"/>
        <w:bidi/>
        <w:jc w:val="both"/>
        <w:rPr>
          <w:rFonts w:ascii="Tahoma" w:hAnsi="Tahoma" w:cs="Tahoma"/>
          <w:rtl/>
        </w:rPr>
      </w:pPr>
      <w:r w:rsidRPr="009A3DE3">
        <w:rPr>
          <w:rFonts w:ascii="Tahoma" w:hAnsi="Tahoma" w:cs="Tahoma"/>
          <w:rtl/>
        </w:rPr>
        <w:t xml:space="preserve">افتتُح متحف اللوفر في باريس عام 1793 بعد قيام الثورة الفرنسية. وكان الهدف الأساسي للمتحف التعريف بإنتاجات الفن المعاصر. وقد زاره العديد من كبار الفنانين العالميين مثل كوربه وبيكاسو ودالي وغيرهم وأبدوا إعجابهم بالأعمال الأصلية القديمة، واستنسخوها وأنتجوا أعمالاً أصلية خاصة بهم بوحي من الأعمال المعروضة. كان المتحف في الأصل سكناً للعائلة المالكة، ويعود ارتباط متحف اللوفر بالتاريخ الفرنسي إلى ثمانية قرون. وتُعد مقتنيات متحف اللوفر، الذي يُعتبر متحفاً عالمياً، الأفضل على مستوى العالم، وهي تُغطي العديد من الحقب الزمنية والمناطق الجغرافية من الأمريكيتين إلى آسيا. ويمتلك متحف اللوفر 38 ألف قطعة فنية مصنفة ضمن مجموعات وموزعة على 8 إدارات تنسيقية. ومن بين أبرز </w:t>
      </w:r>
      <w:r w:rsidRPr="009A3DE3">
        <w:rPr>
          <w:rFonts w:ascii="Tahoma" w:hAnsi="Tahoma" w:cs="Tahoma"/>
          <w:rtl/>
        </w:rPr>
        <w:lastRenderedPageBreak/>
        <w:t>مقتنيات متحف اللوفر، لوحة الموناليزا المشهورة عالمياً، والتحفة الفنية "النصر المجنح ساموثريس" التي تجسد آلهة النصر لدى اليونانيين، وتمثال "فينوس دي ميلو" المعروف أيضاً باسم "أفروديت الميلوسية</w:t>
      </w:r>
      <w:r w:rsidRPr="009A3DE3">
        <w:rPr>
          <w:rFonts w:ascii="Tahoma" w:hAnsi="Tahoma" w:cs="Tahoma" w:hint="cs"/>
          <w:rtl/>
        </w:rPr>
        <w:t xml:space="preserve">. </w:t>
      </w:r>
      <w:r w:rsidRPr="009A3DE3">
        <w:rPr>
          <w:rFonts w:ascii="Tahoma" w:hAnsi="Tahoma" w:cs="Tahoma"/>
          <w:rtl/>
        </w:rPr>
        <w:t>ويعد من المتاحف الأكثر زيارة في العالم</w:t>
      </w:r>
      <w:r w:rsidRPr="009A3DE3">
        <w:rPr>
          <w:rFonts w:ascii="Tahoma" w:hAnsi="Tahoma" w:cs="Tahoma"/>
        </w:rPr>
        <w:t>.</w:t>
      </w:r>
      <w:r w:rsidRPr="009A3DE3">
        <w:rPr>
          <w:rFonts w:ascii="Tahoma" w:hAnsi="Tahoma" w:cs="Tahoma" w:hint="cs"/>
          <w:rtl/>
        </w:rPr>
        <w:t xml:space="preserve"> تصدّر</w:t>
      </w:r>
      <w:r w:rsidRPr="009A3DE3">
        <w:rPr>
          <w:rFonts w:ascii="Tahoma" w:hAnsi="Tahoma" w:cs="Tahoma"/>
          <w:rtl/>
        </w:rPr>
        <w:t xml:space="preserve"> «</w:t>
      </w:r>
      <w:r w:rsidRPr="009A3DE3">
        <w:rPr>
          <w:rFonts w:ascii="Tahoma" w:hAnsi="Tahoma" w:cs="Tahoma" w:hint="cs"/>
          <w:rtl/>
        </w:rPr>
        <w:t>متحف</w:t>
      </w:r>
      <w:r w:rsidRPr="009A3DE3">
        <w:rPr>
          <w:rFonts w:ascii="Tahoma" w:hAnsi="Tahoma" w:cs="Tahoma"/>
          <w:rtl/>
        </w:rPr>
        <w:t xml:space="preserve"> </w:t>
      </w:r>
      <w:r w:rsidRPr="009A3DE3">
        <w:rPr>
          <w:rFonts w:ascii="Tahoma" w:hAnsi="Tahoma" w:cs="Tahoma" w:hint="cs"/>
          <w:rtl/>
        </w:rPr>
        <w:t>اللوفر</w:t>
      </w:r>
      <w:r w:rsidRPr="009A3DE3">
        <w:rPr>
          <w:rFonts w:ascii="Tahoma" w:hAnsi="Tahoma" w:cs="Tahoma" w:hint="eastAsia"/>
          <w:rtl/>
        </w:rPr>
        <w:t>»</w:t>
      </w:r>
      <w:r w:rsidRPr="009A3DE3">
        <w:rPr>
          <w:rFonts w:ascii="Tahoma" w:hAnsi="Tahoma" w:cs="Tahoma"/>
          <w:rtl/>
        </w:rPr>
        <w:t xml:space="preserve"> </w:t>
      </w:r>
      <w:r w:rsidRPr="009A3DE3">
        <w:rPr>
          <w:rFonts w:ascii="Tahoma" w:hAnsi="Tahoma" w:cs="Tahoma" w:hint="cs"/>
          <w:rtl/>
        </w:rPr>
        <w:t>قائمة</w:t>
      </w:r>
      <w:r w:rsidRPr="009A3DE3">
        <w:rPr>
          <w:rFonts w:ascii="Tahoma" w:hAnsi="Tahoma" w:cs="Tahoma"/>
          <w:rtl/>
        </w:rPr>
        <w:t xml:space="preserve"> </w:t>
      </w:r>
      <w:r w:rsidRPr="009A3DE3">
        <w:rPr>
          <w:rFonts w:ascii="Tahoma" w:hAnsi="Tahoma" w:cs="Tahoma" w:hint="cs"/>
          <w:rtl/>
        </w:rPr>
        <w:t>أكثر</w:t>
      </w:r>
      <w:r w:rsidRPr="009A3DE3">
        <w:rPr>
          <w:rFonts w:ascii="Tahoma" w:hAnsi="Tahoma" w:cs="Tahoma"/>
          <w:rtl/>
        </w:rPr>
        <w:t xml:space="preserve"> </w:t>
      </w:r>
      <w:r w:rsidRPr="009A3DE3">
        <w:rPr>
          <w:rFonts w:ascii="Tahoma" w:hAnsi="Tahoma" w:cs="Tahoma" w:hint="cs"/>
          <w:rtl/>
        </w:rPr>
        <w:t>متاحف</w:t>
      </w:r>
      <w:r w:rsidRPr="009A3DE3">
        <w:rPr>
          <w:rFonts w:ascii="Tahoma" w:hAnsi="Tahoma" w:cs="Tahoma"/>
          <w:rtl/>
        </w:rPr>
        <w:t xml:space="preserve"> </w:t>
      </w:r>
      <w:r w:rsidRPr="009A3DE3">
        <w:rPr>
          <w:rFonts w:ascii="Tahoma" w:hAnsi="Tahoma" w:cs="Tahoma" w:hint="cs"/>
          <w:rtl/>
        </w:rPr>
        <w:t>الفنون</w:t>
      </w:r>
      <w:r w:rsidRPr="009A3DE3">
        <w:rPr>
          <w:rFonts w:ascii="Tahoma" w:hAnsi="Tahoma" w:cs="Tahoma"/>
          <w:rtl/>
        </w:rPr>
        <w:t xml:space="preserve"> </w:t>
      </w:r>
      <w:r w:rsidRPr="009A3DE3">
        <w:rPr>
          <w:rFonts w:ascii="Tahoma" w:hAnsi="Tahoma" w:cs="Tahoma" w:hint="cs"/>
          <w:rtl/>
        </w:rPr>
        <w:t>زيارةً</w:t>
      </w:r>
      <w:r w:rsidRPr="009A3DE3">
        <w:rPr>
          <w:rFonts w:ascii="Tahoma" w:hAnsi="Tahoma" w:cs="Tahoma"/>
          <w:rtl/>
        </w:rPr>
        <w:t xml:space="preserve"> </w:t>
      </w:r>
      <w:r w:rsidRPr="009A3DE3">
        <w:rPr>
          <w:rFonts w:ascii="Tahoma" w:hAnsi="Tahoma" w:cs="Tahoma" w:hint="cs"/>
          <w:rtl/>
        </w:rPr>
        <w:t>في</w:t>
      </w:r>
      <w:r w:rsidRPr="009A3DE3">
        <w:rPr>
          <w:rFonts w:ascii="Tahoma" w:hAnsi="Tahoma" w:cs="Tahoma"/>
          <w:rtl/>
        </w:rPr>
        <w:t xml:space="preserve"> </w:t>
      </w:r>
      <w:r w:rsidRPr="009A3DE3">
        <w:rPr>
          <w:rFonts w:ascii="Tahoma" w:hAnsi="Tahoma" w:cs="Tahoma" w:hint="cs"/>
          <w:rtl/>
        </w:rPr>
        <w:t>العالم،</w:t>
      </w:r>
      <w:r w:rsidRPr="009A3DE3">
        <w:rPr>
          <w:rFonts w:ascii="Tahoma" w:hAnsi="Tahoma" w:cs="Tahoma"/>
          <w:rtl/>
        </w:rPr>
        <w:t xml:space="preserve"> </w:t>
      </w:r>
      <w:r w:rsidRPr="009A3DE3">
        <w:rPr>
          <w:rFonts w:ascii="Tahoma" w:hAnsi="Tahoma" w:cs="Tahoma" w:hint="cs"/>
          <w:rtl/>
        </w:rPr>
        <w:t>وذلك</w:t>
      </w:r>
      <w:r w:rsidRPr="009A3DE3">
        <w:rPr>
          <w:rFonts w:ascii="Tahoma" w:hAnsi="Tahoma" w:cs="Tahoma"/>
          <w:rtl/>
        </w:rPr>
        <w:t xml:space="preserve"> </w:t>
      </w:r>
      <w:r w:rsidRPr="009A3DE3">
        <w:rPr>
          <w:rFonts w:ascii="Tahoma" w:hAnsi="Tahoma" w:cs="Tahoma" w:hint="cs"/>
          <w:rtl/>
        </w:rPr>
        <w:t>بعد</w:t>
      </w:r>
      <w:r w:rsidRPr="009A3DE3">
        <w:rPr>
          <w:rFonts w:ascii="Tahoma" w:hAnsi="Tahoma" w:cs="Tahoma"/>
          <w:rtl/>
        </w:rPr>
        <w:t xml:space="preserve"> </w:t>
      </w:r>
      <w:r w:rsidRPr="009A3DE3">
        <w:rPr>
          <w:rFonts w:ascii="Tahoma" w:hAnsi="Tahoma" w:cs="Tahoma" w:hint="cs"/>
          <w:rtl/>
        </w:rPr>
        <w:t>أن</w:t>
      </w:r>
      <w:r w:rsidRPr="009A3DE3">
        <w:rPr>
          <w:rFonts w:ascii="Tahoma" w:hAnsi="Tahoma" w:cs="Tahoma"/>
          <w:rtl/>
        </w:rPr>
        <w:t xml:space="preserve"> </w:t>
      </w:r>
      <w:r w:rsidRPr="009A3DE3">
        <w:rPr>
          <w:rFonts w:ascii="Tahoma" w:hAnsi="Tahoma" w:cs="Tahoma" w:hint="cs"/>
          <w:rtl/>
        </w:rPr>
        <w:t>سجّل</w:t>
      </w:r>
      <w:r w:rsidRPr="009A3DE3">
        <w:rPr>
          <w:rFonts w:ascii="Tahoma" w:hAnsi="Tahoma" w:cs="Tahoma"/>
          <w:rtl/>
        </w:rPr>
        <w:t xml:space="preserve"> </w:t>
      </w:r>
      <w:r w:rsidRPr="009A3DE3">
        <w:rPr>
          <w:rFonts w:ascii="Tahoma" w:hAnsi="Tahoma" w:cs="Tahoma" w:hint="cs"/>
          <w:rtl/>
        </w:rPr>
        <w:t>زيارة</w:t>
      </w:r>
      <w:r w:rsidRPr="009A3DE3">
        <w:rPr>
          <w:rFonts w:ascii="Tahoma" w:hAnsi="Tahoma" w:cs="Tahoma"/>
          <w:rtl/>
        </w:rPr>
        <w:t xml:space="preserve"> 9.6 </w:t>
      </w:r>
      <w:r w:rsidRPr="009A3DE3">
        <w:rPr>
          <w:rFonts w:ascii="Tahoma" w:hAnsi="Tahoma" w:cs="Tahoma" w:hint="cs"/>
          <w:rtl/>
        </w:rPr>
        <w:t>مليون</w:t>
      </w:r>
      <w:r w:rsidRPr="009A3DE3">
        <w:rPr>
          <w:rFonts w:ascii="Tahoma" w:hAnsi="Tahoma" w:cs="Tahoma"/>
          <w:rtl/>
        </w:rPr>
        <w:t xml:space="preserve"> </w:t>
      </w:r>
      <w:r w:rsidRPr="009A3DE3">
        <w:rPr>
          <w:rFonts w:ascii="Tahoma" w:hAnsi="Tahoma" w:cs="Tahoma" w:hint="cs"/>
          <w:rtl/>
        </w:rPr>
        <w:t>مرتاد</w:t>
      </w:r>
      <w:r w:rsidRPr="009A3DE3">
        <w:rPr>
          <w:rFonts w:ascii="Tahoma" w:hAnsi="Tahoma" w:cs="Tahoma"/>
          <w:rtl/>
        </w:rPr>
        <w:t xml:space="preserve"> </w:t>
      </w:r>
      <w:r w:rsidRPr="009A3DE3">
        <w:rPr>
          <w:rFonts w:ascii="Tahoma" w:hAnsi="Tahoma" w:cs="Tahoma" w:hint="cs"/>
          <w:rtl/>
        </w:rPr>
        <w:t>للمتحف</w:t>
      </w:r>
      <w:r w:rsidRPr="009A3DE3">
        <w:rPr>
          <w:rFonts w:ascii="Tahoma" w:hAnsi="Tahoma" w:cs="Tahoma"/>
          <w:rtl/>
        </w:rPr>
        <w:t xml:space="preserve"> </w:t>
      </w:r>
      <w:r w:rsidRPr="009A3DE3">
        <w:rPr>
          <w:rFonts w:ascii="Tahoma" w:hAnsi="Tahoma" w:cs="Tahoma" w:hint="cs"/>
          <w:rtl/>
        </w:rPr>
        <w:t>في</w:t>
      </w:r>
      <w:r w:rsidRPr="009A3DE3">
        <w:rPr>
          <w:rFonts w:ascii="Tahoma" w:hAnsi="Tahoma" w:cs="Tahoma"/>
          <w:rtl/>
        </w:rPr>
        <w:t xml:space="preserve"> </w:t>
      </w:r>
      <w:r w:rsidRPr="009A3DE3">
        <w:rPr>
          <w:rFonts w:ascii="Tahoma" w:hAnsi="Tahoma" w:cs="Tahoma" w:hint="cs"/>
          <w:rtl/>
        </w:rPr>
        <w:t>عام</w:t>
      </w:r>
      <w:r w:rsidRPr="009A3DE3">
        <w:rPr>
          <w:rFonts w:ascii="Tahoma" w:hAnsi="Tahoma" w:cs="Tahoma"/>
          <w:rtl/>
        </w:rPr>
        <w:t xml:space="preserve"> 2019</w:t>
      </w:r>
      <w:r>
        <w:rPr>
          <w:rFonts w:ascii="Tahoma" w:hAnsi="Tahoma" w:cs="Tahoma" w:hint="cs"/>
          <w:rtl/>
        </w:rPr>
        <w:t>.</w:t>
      </w:r>
    </w:p>
    <w:p w14:paraId="3B6618C8" w14:textId="77777777" w:rsidR="00753EBF" w:rsidRPr="00B5665E" w:rsidRDefault="00753EBF" w:rsidP="00753EBF">
      <w:pPr>
        <w:pStyle w:val="NoSpacing"/>
        <w:rPr>
          <w:rFonts w:ascii="Tahoma" w:hAnsi="Tahoma" w:cs="Tahoma"/>
          <w:lang w:bidi="ar-EG"/>
        </w:rPr>
      </w:pPr>
    </w:p>
    <w:p w14:paraId="71517DFB" w14:textId="77777777" w:rsidR="00297658" w:rsidRPr="009A3DE3" w:rsidRDefault="00297658" w:rsidP="00297658">
      <w:pPr>
        <w:bidi/>
        <w:spacing w:line="276" w:lineRule="auto"/>
        <w:jc w:val="both"/>
        <w:rPr>
          <w:rFonts w:ascii="Tahoma" w:hAnsi="Tahoma" w:cs="Tahoma"/>
          <w:b/>
          <w:bCs/>
          <w:rtl/>
        </w:rPr>
      </w:pPr>
      <w:r w:rsidRPr="009A3DE3">
        <w:rPr>
          <w:rFonts w:ascii="Tahoma" w:hAnsi="Tahoma" w:cs="Tahoma"/>
          <w:b/>
          <w:bCs/>
          <w:rtl/>
        </w:rPr>
        <w:t>نبذة عن المنطقة الثقافية في السعديات</w:t>
      </w:r>
    </w:p>
    <w:p w14:paraId="5E5AF7B3" w14:textId="77777777" w:rsidR="00297658" w:rsidRPr="009A3DE3" w:rsidRDefault="00297658" w:rsidP="00297658">
      <w:pPr>
        <w:shd w:val="clear" w:color="auto" w:fill="FFFFFF" w:themeFill="background1"/>
        <w:bidi/>
        <w:jc w:val="both"/>
        <w:rPr>
          <w:rFonts w:ascii="Tahoma" w:hAnsi="Tahoma" w:cs="Tahoma"/>
          <w:rtl/>
        </w:rPr>
      </w:pPr>
      <w:r w:rsidRPr="009A3DE3">
        <w:rPr>
          <w:rFonts w:ascii="Tahoma" w:hAnsi="Tahoma" w:cs="Tahoma"/>
          <w:rtl/>
        </w:rPr>
        <w:t>تعتبر المنطقة الثقافية في السعديات منطقة متكاملة تم تكريسها للاحتفاء بالثقافة والفنون. وستكون المنطقة مركز إشعاع للثقافة العالمية، بحيث تستقطب الزوار من مختلف أنحاء دولة الإمارات العربية المتحدة والمنطقة والعالم أجمع من خلال تنظيم عدد من المعارض المتفردة، وتقديم مجموعات فنية دائمة، واستضافة عروض الأداء، بالإضافة إلى العديد من الفعاليات الثقافية الأخرى. وستعكس التصاميم المبدعة لمقرات المؤسسات الثقافية في المنطقة الثقافية بما في ذلك متحف زايد الوطني، واللوفر أبوظبي، وجوجنهايم أبوظبي، الفنون المعمارية المميزة للقرن الحادي والعشرين وبأبهى صورها. ستتكامل هذه المتاحف، وتتعاون مع المؤسسات الفنية والثقافية المحلية والإقليمية بما في ذلك الجامعات والمراكز البحثية المختلفة</w:t>
      </w:r>
      <w:r w:rsidRPr="009A3DE3">
        <w:rPr>
          <w:rFonts w:ascii="Tahoma" w:hAnsi="Tahoma" w:cs="Tahoma"/>
        </w:rPr>
        <w:t>.</w:t>
      </w:r>
    </w:p>
    <w:p w14:paraId="62DD6F0F" w14:textId="77777777" w:rsidR="00297658" w:rsidRPr="009A3DE3" w:rsidRDefault="00297658" w:rsidP="00297658">
      <w:pPr>
        <w:bidi/>
        <w:spacing w:line="276" w:lineRule="auto"/>
        <w:jc w:val="both"/>
        <w:rPr>
          <w:rFonts w:ascii="Tahoma" w:hAnsi="Tahoma" w:cs="Tahoma"/>
          <w:rtl/>
        </w:rPr>
      </w:pPr>
    </w:p>
    <w:p w14:paraId="63FA74E7" w14:textId="77777777" w:rsidR="00297658" w:rsidRPr="008F6324" w:rsidRDefault="00297658" w:rsidP="00297658">
      <w:pPr>
        <w:bidi/>
        <w:spacing w:line="276" w:lineRule="auto"/>
        <w:jc w:val="both"/>
        <w:rPr>
          <w:rFonts w:ascii="Tahoma" w:hAnsi="Tahoma" w:cs="Tahoma"/>
          <w:b/>
          <w:bCs/>
          <w:rtl/>
        </w:rPr>
      </w:pPr>
      <w:r w:rsidRPr="008F6324">
        <w:rPr>
          <w:rFonts w:ascii="Tahoma" w:hAnsi="Tahoma" w:cs="Tahoma"/>
          <w:b/>
          <w:bCs/>
          <w:rtl/>
        </w:rPr>
        <w:t>نبذة عن دائرة الثقافة والسياحة- أبوظبي</w:t>
      </w:r>
    </w:p>
    <w:p w14:paraId="1A63B5AF" w14:textId="77777777" w:rsidR="00297658" w:rsidRPr="004C621C" w:rsidRDefault="00297658" w:rsidP="00297658">
      <w:pPr>
        <w:shd w:val="clear" w:color="auto" w:fill="FFFFFF" w:themeFill="background1"/>
        <w:bidi/>
        <w:jc w:val="both"/>
        <w:rPr>
          <w:rFonts w:ascii="Tahoma" w:hAnsi="Tahoma" w:cs="Tahoma"/>
          <w:b/>
        </w:rPr>
      </w:pPr>
      <w:r w:rsidRPr="00540B6A">
        <w:rPr>
          <w:rFonts w:ascii="Tahoma" w:hAnsi="Tahoma" w:cs="Tahoma"/>
          <w:b/>
          <w:rtl/>
        </w:rPr>
        <w:t>تتولى دائرة الثقافة والسياحة - أبوظبي حفظ وحماية تراث وثقافة إمارة أبوظبي والترويج لمقوماتها الثقافية ومنتجاتها السياحية وتأكيد مكانة الإمارة العالمية باعتبارها وجهة سياحية وثقافية مستدامة ومتميزة تثري حياة المجتمع والزوار. كما تتولى الدائرة قيادة القطاع السياحي في الإمارة والترويج لها دولياً كوجهة سياحية من خلال تنفيذ العديد من الأنشطة والأعمال التي تستهدف استقطاب الزوار والمستثمرين. وترتكز سياسات عمل الدائرة وخططها وبرامجها على حفظ التراث والثقافة، بما فيها حماية المواقع الأثرية والتاريخية، وكذلك تطوير قطاع المتاحف وفي مقدمتها إنشاء متحف زايد الوطني، ومتحف جوجنهايم أبوظبي، ومتحف اللوفر أبوظبي. وتدعم الهيئة أنشطة الفنون الإبداعية والفعاليات الثقافية بما يسهم في إنتاج بيئة حيوية للفنون والثقافة ترتقي بمكانة التراث في الإمارة. وتلعب الهيئة دوراً رئيسياً في خلق الانسجام وإدارته لتطوير أبوظبي كوجهة سياحية وثقافية وذلك من خلال التنسيق الشامل بين جميع الشركاء.</w:t>
      </w:r>
    </w:p>
    <w:p w14:paraId="4D40205C" w14:textId="77777777" w:rsidR="00B16750" w:rsidRPr="00B5665E" w:rsidRDefault="00B16750" w:rsidP="00753EBF">
      <w:pPr>
        <w:pStyle w:val="NoSpacing"/>
        <w:rPr>
          <w:rFonts w:ascii="Tahoma" w:hAnsi="Tahoma" w:cs="Tahoma"/>
        </w:rPr>
      </w:pPr>
    </w:p>
    <w:sectPr w:rsidR="00B16750" w:rsidRPr="00B5665E" w:rsidSect="006D30B5">
      <w:footerReference w:type="default" r:id="rId13"/>
      <w:headerReference w:type="first" r:id="rId14"/>
      <w:footerReference w:type="first" r:id="rId15"/>
      <w:pgSz w:w="11907" w:h="16839"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6F476D" w14:textId="77777777" w:rsidR="007D508B" w:rsidRDefault="007D508B" w:rsidP="00902929">
      <w:r>
        <w:separator/>
      </w:r>
    </w:p>
  </w:endnote>
  <w:endnote w:type="continuationSeparator" w:id="0">
    <w:p w14:paraId="25D86D48" w14:textId="77777777" w:rsidR="007D508B" w:rsidRDefault="007D508B" w:rsidP="00902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73072" w14:textId="40814E2B" w:rsidR="00DE28BC" w:rsidRPr="003362F5" w:rsidRDefault="00DE28BC" w:rsidP="003362F5">
    <w:pPr>
      <w:pStyle w:val="Footer"/>
      <w:jc w:val="right"/>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527ED" w14:textId="484BB758" w:rsidR="006D30B5" w:rsidRPr="00D21B39" w:rsidRDefault="006D30B5" w:rsidP="00D21B39">
    <w:pPr>
      <w:pStyle w:val="Footer"/>
      <w:jc w:val="right"/>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865A5F" w14:textId="77777777" w:rsidR="007D508B" w:rsidRDefault="007D508B" w:rsidP="00902929">
      <w:r>
        <w:separator/>
      </w:r>
    </w:p>
  </w:footnote>
  <w:footnote w:type="continuationSeparator" w:id="0">
    <w:p w14:paraId="0F7D6962" w14:textId="77777777" w:rsidR="007D508B" w:rsidRDefault="007D508B" w:rsidP="009029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ECBC3" w14:textId="388D7104" w:rsidR="00EB56B2" w:rsidRDefault="00B16750" w:rsidP="00EB56B2">
    <w:pPr>
      <w:pStyle w:val="rightalign"/>
      <w:spacing w:before="240" w:after="360"/>
    </w:pPr>
    <w:r>
      <w:rPr>
        <w:noProof/>
      </w:rPr>
      <w:drawing>
        <wp:anchor distT="0" distB="0" distL="114300" distR="114300" simplePos="0" relativeHeight="251661312" behindDoc="0" locked="0" layoutInCell="1" allowOverlap="1" wp14:anchorId="253578F3" wp14:editId="581A8E8D">
          <wp:simplePos x="0" y="0"/>
          <wp:positionH relativeFrom="margin">
            <wp:posOffset>5140325</wp:posOffset>
          </wp:positionH>
          <wp:positionV relativeFrom="paragraph">
            <wp:posOffset>-171450</wp:posOffset>
          </wp:positionV>
          <wp:extent cx="920115" cy="62230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PS Healthcare Logo (Hi-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0115" cy="622300"/>
                  </a:xfrm>
                  <a:prstGeom prst="rect">
                    <a:avLst/>
                  </a:prstGeom>
                </pic:spPr>
              </pic:pic>
            </a:graphicData>
          </a:graphic>
          <wp14:sizeRelH relativeFrom="margin">
            <wp14:pctWidth>0</wp14:pctWidth>
          </wp14:sizeRelH>
          <wp14:sizeRelV relativeFrom="margin">
            <wp14:pctHeight>0</wp14:pctHeight>
          </wp14:sizeRelV>
        </wp:anchor>
      </w:drawing>
    </w:r>
    <w:r>
      <w:rPr>
        <w:noProof/>
        <w:sz w:val="18"/>
      </w:rPr>
      <w:drawing>
        <wp:anchor distT="0" distB="0" distL="114300" distR="114300" simplePos="0" relativeHeight="251659264" behindDoc="1" locked="0" layoutInCell="1" allowOverlap="1" wp14:anchorId="567C71E0" wp14:editId="4FCE2685">
          <wp:simplePos x="0" y="0"/>
          <wp:positionH relativeFrom="column">
            <wp:posOffset>-508000</wp:posOffset>
          </wp:positionH>
          <wp:positionV relativeFrom="paragraph">
            <wp:posOffset>-241300</wp:posOffset>
          </wp:positionV>
          <wp:extent cx="2087880" cy="647700"/>
          <wp:effectExtent l="0" t="0" r="7620" b="0"/>
          <wp:wrapTight wrapText="bothSides">
            <wp:wrapPolygon edited="0">
              <wp:start x="0" y="0"/>
              <wp:lineTo x="0" y="20965"/>
              <wp:lineTo x="21482" y="20965"/>
              <wp:lineTo x="21482" y="0"/>
              <wp:lineTo x="0" y="0"/>
            </wp:wrapPolygon>
          </wp:wrapTight>
          <wp:docPr id="4" name="Picture 4" descr="C:\Users\SMHALJ~1\AppData\Local\Temp\Rar$DRa0.366\Logo_Artwork_ Stacked\LAD_Stacked_logo\LAD_Stack_RGB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HALJ~1\AppData\Local\Temp\Rar$DRa0.366\Logo_Artwork_ Stacked\LAD_Stacked_logo\LAD_Stack_RGB_Black.jpg"/>
                  <pic:cNvPicPr>
                    <a:picLocks noChangeAspect="1" noChangeArrowheads="1"/>
                  </pic:cNvPicPr>
                </pic:nvPicPr>
                <pic:blipFill rotWithShape="1">
                  <a:blip r:embed="rId2" cstate="screen">
                    <a:extLst>
                      <a:ext uri="{28A0092B-C50C-407E-A947-70E740481C1C}">
                        <a14:useLocalDpi xmlns:a14="http://schemas.microsoft.com/office/drawing/2010/main"/>
                      </a:ext>
                    </a:extLst>
                  </a:blip>
                  <a:srcRect/>
                  <a:stretch/>
                </pic:blipFill>
                <pic:spPr bwMode="auto">
                  <a:xfrm>
                    <a:off x="0" y="0"/>
                    <a:ext cx="2087880" cy="647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E24BF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E444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7C5E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4C9D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1440C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06685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6E829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E68C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AE18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DAD4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87E9D"/>
    <w:multiLevelType w:val="hybridMultilevel"/>
    <w:tmpl w:val="630AD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A20FE5"/>
    <w:multiLevelType w:val="hybridMultilevel"/>
    <w:tmpl w:val="E842E3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4A30A52"/>
    <w:multiLevelType w:val="hybridMultilevel"/>
    <w:tmpl w:val="ED4876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6895BA0"/>
    <w:multiLevelType w:val="hybridMultilevel"/>
    <w:tmpl w:val="A29A6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79515F1"/>
    <w:multiLevelType w:val="hybridMultilevel"/>
    <w:tmpl w:val="E294D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214DA0"/>
    <w:multiLevelType w:val="hybridMultilevel"/>
    <w:tmpl w:val="A8B4A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D03E5A"/>
    <w:multiLevelType w:val="hybridMultilevel"/>
    <w:tmpl w:val="88DCC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3123A5"/>
    <w:multiLevelType w:val="hybridMultilevel"/>
    <w:tmpl w:val="68586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4C16A88"/>
    <w:multiLevelType w:val="hybridMultilevel"/>
    <w:tmpl w:val="9C889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4D3168"/>
    <w:multiLevelType w:val="hybridMultilevel"/>
    <w:tmpl w:val="5ED44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A765AE6"/>
    <w:multiLevelType w:val="hybridMultilevel"/>
    <w:tmpl w:val="E6A62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EB52AFE"/>
    <w:multiLevelType w:val="hybridMultilevel"/>
    <w:tmpl w:val="16449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35D66C2"/>
    <w:multiLevelType w:val="hybridMultilevel"/>
    <w:tmpl w:val="D08ADD1A"/>
    <w:lvl w:ilvl="0" w:tplc="0409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3" w15:restartNumberingAfterBreak="0">
    <w:nsid w:val="29654374"/>
    <w:multiLevelType w:val="hybridMultilevel"/>
    <w:tmpl w:val="A8B4A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E12B34"/>
    <w:multiLevelType w:val="hybridMultilevel"/>
    <w:tmpl w:val="3DE861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C503540"/>
    <w:multiLevelType w:val="hybridMultilevel"/>
    <w:tmpl w:val="113ECD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C572F23"/>
    <w:multiLevelType w:val="hybridMultilevel"/>
    <w:tmpl w:val="16CCC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EC0474"/>
    <w:multiLevelType w:val="hybridMultilevel"/>
    <w:tmpl w:val="229893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29C4293"/>
    <w:multiLevelType w:val="hybridMultilevel"/>
    <w:tmpl w:val="A3AC6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6A46FAA"/>
    <w:multiLevelType w:val="hybridMultilevel"/>
    <w:tmpl w:val="8FB6C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B33EB8"/>
    <w:multiLevelType w:val="hybridMultilevel"/>
    <w:tmpl w:val="A3269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F33D98"/>
    <w:multiLevelType w:val="hybridMultilevel"/>
    <w:tmpl w:val="FD16DB1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CD7DF4"/>
    <w:multiLevelType w:val="hybridMultilevel"/>
    <w:tmpl w:val="52DAC796"/>
    <w:lvl w:ilvl="0" w:tplc="6DF4BCA8">
      <w:start w:val="1"/>
      <w:numFmt w:val="decimal"/>
      <w:lvlText w:val="%1"/>
      <w:lvlJc w:val="left"/>
      <w:pPr>
        <w:ind w:left="720" w:hanging="360"/>
      </w:pPr>
      <w:rPr>
        <w:rFonts w:hint="default"/>
        <w:color w:val="90A7B2"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DCD073C"/>
    <w:multiLevelType w:val="hybridMultilevel"/>
    <w:tmpl w:val="8682B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5E095B"/>
    <w:multiLevelType w:val="hybridMultilevel"/>
    <w:tmpl w:val="8182CE14"/>
    <w:lvl w:ilvl="0" w:tplc="6EC03EFA">
      <w:start w:val="1"/>
      <w:numFmt w:val="bullet"/>
      <w:pStyle w:val="Bullets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253434"/>
    <w:multiLevelType w:val="hybridMultilevel"/>
    <w:tmpl w:val="F49CA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0D6CA7"/>
    <w:multiLevelType w:val="hybridMultilevel"/>
    <w:tmpl w:val="353A7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697801"/>
    <w:multiLevelType w:val="hybridMultilevel"/>
    <w:tmpl w:val="FE406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80533D"/>
    <w:multiLevelType w:val="hybridMultilevel"/>
    <w:tmpl w:val="346C6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C68277A"/>
    <w:multiLevelType w:val="hybridMultilevel"/>
    <w:tmpl w:val="37121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1B6515"/>
    <w:multiLevelType w:val="hybridMultilevel"/>
    <w:tmpl w:val="2EF82B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EB19E5"/>
    <w:multiLevelType w:val="hybridMultilevel"/>
    <w:tmpl w:val="F3FA6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1A2032"/>
    <w:multiLevelType w:val="hybridMultilevel"/>
    <w:tmpl w:val="3A928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69A528A"/>
    <w:multiLevelType w:val="hybridMultilevel"/>
    <w:tmpl w:val="5AD639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74260A2"/>
    <w:multiLevelType w:val="hybridMultilevel"/>
    <w:tmpl w:val="7DEA186C"/>
    <w:lvl w:ilvl="0" w:tplc="04090001">
      <w:start w:val="1"/>
      <w:numFmt w:val="bullet"/>
      <w:lvlText w:val=""/>
      <w:lvlJc w:val="left"/>
      <w:pPr>
        <w:ind w:left="360" w:hanging="360"/>
      </w:pPr>
      <w:rPr>
        <w:rFonts w:ascii="Symbol" w:hAnsi="Symbol" w:hint="default"/>
      </w:rPr>
    </w:lvl>
    <w:lvl w:ilvl="1" w:tplc="3DFA23B8">
      <w:numFmt w:val="bullet"/>
      <w:pStyle w:val="bullet2"/>
      <w:lvlText w:val="-"/>
      <w:lvlJc w:val="left"/>
      <w:pPr>
        <w:ind w:left="1080" w:hanging="360"/>
      </w:pPr>
      <w:rPr>
        <w:rFonts w:ascii="Calibri" w:eastAsiaTheme="minorHAnsi" w:hAnsi="Calibri"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92A1ACA"/>
    <w:multiLevelType w:val="hybridMultilevel"/>
    <w:tmpl w:val="DB4444DE"/>
    <w:lvl w:ilvl="0" w:tplc="761EBDFC">
      <w:start w:val="1"/>
      <w:numFmt w:val="decimal"/>
      <w:pStyle w:val="ListParagraph"/>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4"/>
  </w:num>
  <w:num w:numId="2">
    <w:abstractNumId w:val="18"/>
  </w:num>
  <w:num w:numId="3">
    <w:abstractNumId w:val="34"/>
  </w:num>
  <w:num w:numId="4">
    <w:abstractNumId w:val="12"/>
  </w:num>
  <w:num w:numId="5">
    <w:abstractNumId w:val="42"/>
  </w:num>
  <w:num w:numId="6">
    <w:abstractNumId w:val="28"/>
  </w:num>
  <w:num w:numId="7">
    <w:abstractNumId w:val="33"/>
  </w:num>
  <w:num w:numId="8">
    <w:abstractNumId w:val="44"/>
  </w:num>
  <w:num w:numId="9">
    <w:abstractNumId w:val="25"/>
  </w:num>
  <w:num w:numId="10">
    <w:abstractNumId w:val="21"/>
  </w:num>
  <w:num w:numId="11">
    <w:abstractNumId w:val="17"/>
  </w:num>
  <w:num w:numId="12">
    <w:abstractNumId w:val="20"/>
  </w:num>
  <w:num w:numId="13">
    <w:abstractNumId w:val="29"/>
  </w:num>
  <w:num w:numId="14">
    <w:abstractNumId w:val="43"/>
  </w:num>
  <w:num w:numId="15">
    <w:abstractNumId w:val="13"/>
  </w:num>
  <w:num w:numId="16">
    <w:abstractNumId w:val="19"/>
  </w:num>
  <w:num w:numId="17">
    <w:abstractNumId w:val="38"/>
  </w:num>
  <w:num w:numId="18">
    <w:abstractNumId w:val="26"/>
  </w:num>
  <w:num w:numId="19">
    <w:abstractNumId w:val="36"/>
  </w:num>
  <w:num w:numId="20">
    <w:abstractNumId w:val="37"/>
  </w:num>
  <w:num w:numId="21">
    <w:abstractNumId w:val="35"/>
  </w:num>
  <w:num w:numId="22">
    <w:abstractNumId w:val="16"/>
  </w:num>
  <w:num w:numId="23">
    <w:abstractNumId w:val="14"/>
  </w:num>
  <w:num w:numId="24">
    <w:abstractNumId w:val="40"/>
  </w:num>
  <w:num w:numId="25">
    <w:abstractNumId w:val="41"/>
  </w:num>
  <w:num w:numId="26">
    <w:abstractNumId w:val="23"/>
  </w:num>
  <w:num w:numId="27">
    <w:abstractNumId w:val="15"/>
  </w:num>
  <w:num w:numId="28">
    <w:abstractNumId w:val="31"/>
  </w:num>
  <w:num w:numId="29">
    <w:abstractNumId w:val="27"/>
  </w:num>
  <w:num w:numId="30">
    <w:abstractNumId w:val="45"/>
  </w:num>
  <w:num w:numId="31">
    <w:abstractNumId w:val="9"/>
  </w:num>
  <w:num w:numId="32">
    <w:abstractNumId w:val="8"/>
  </w:num>
  <w:num w:numId="33">
    <w:abstractNumId w:val="7"/>
  </w:num>
  <w:num w:numId="34">
    <w:abstractNumId w:val="6"/>
  </w:num>
  <w:num w:numId="35">
    <w:abstractNumId w:val="5"/>
  </w:num>
  <w:num w:numId="36">
    <w:abstractNumId w:val="4"/>
  </w:num>
  <w:num w:numId="37">
    <w:abstractNumId w:val="3"/>
  </w:num>
  <w:num w:numId="38">
    <w:abstractNumId w:val="2"/>
  </w:num>
  <w:num w:numId="39">
    <w:abstractNumId w:val="1"/>
  </w:num>
  <w:num w:numId="40">
    <w:abstractNumId w:val="0"/>
  </w:num>
  <w:num w:numId="41">
    <w:abstractNumId w:val="11"/>
  </w:num>
  <w:num w:numId="42">
    <w:abstractNumId w:val="32"/>
  </w:num>
  <w:num w:numId="43">
    <w:abstractNumId w:val="22"/>
  </w:num>
  <w:num w:numId="44">
    <w:abstractNumId w:val="30"/>
  </w:num>
  <w:num w:numId="45">
    <w:abstractNumId w:val="39"/>
  </w:num>
  <w:num w:numId="46">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ar-SA" w:vendorID="64" w:dllVersion="6" w:nlCheck="1" w:checkStyle="0"/>
  <w:activeWritingStyle w:appName="MSWord" w:lang="ar-EG" w:vendorID="64" w:dllVersion="6" w:nlCheck="1" w:checkStyle="0"/>
  <w:activeWritingStyle w:appName="MSWord" w:lang="en-US" w:vendorID="64" w:dllVersion="6" w:nlCheck="1" w:checkStyle="1"/>
  <w:proofState w:spelling="clean" w:grammar="clean"/>
  <w:defaultTabStop w:val="113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750"/>
    <w:rsid w:val="00001CD5"/>
    <w:rsid w:val="00006F90"/>
    <w:rsid w:val="0001197D"/>
    <w:rsid w:val="000142E8"/>
    <w:rsid w:val="00024D99"/>
    <w:rsid w:val="00025AF8"/>
    <w:rsid w:val="00036358"/>
    <w:rsid w:val="000401E8"/>
    <w:rsid w:val="0004780F"/>
    <w:rsid w:val="00052B6B"/>
    <w:rsid w:val="00054202"/>
    <w:rsid w:val="00060862"/>
    <w:rsid w:val="0006686B"/>
    <w:rsid w:val="000724A1"/>
    <w:rsid w:val="00075676"/>
    <w:rsid w:val="0008350A"/>
    <w:rsid w:val="00085423"/>
    <w:rsid w:val="00092828"/>
    <w:rsid w:val="00094DEA"/>
    <w:rsid w:val="00097052"/>
    <w:rsid w:val="000A6360"/>
    <w:rsid w:val="000B7797"/>
    <w:rsid w:val="000C48E0"/>
    <w:rsid w:val="000C7E3B"/>
    <w:rsid w:val="000D2A5C"/>
    <w:rsid w:val="000D7A21"/>
    <w:rsid w:val="000D7A87"/>
    <w:rsid w:val="000E1629"/>
    <w:rsid w:val="000E47AD"/>
    <w:rsid w:val="000E6092"/>
    <w:rsid w:val="000E6238"/>
    <w:rsid w:val="001000D6"/>
    <w:rsid w:val="00102D54"/>
    <w:rsid w:val="001058EE"/>
    <w:rsid w:val="001148CF"/>
    <w:rsid w:val="0013090E"/>
    <w:rsid w:val="00142DD7"/>
    <w:rsid w:val="00144F6A"/>
    <w:rsid w:val="001450E9"/>
    <w:rsid w:val="00152837"/>
    <w:rsid w:val="00154151"/>
    <w:rsid w:val="001572E0"/>
    <w:rsid w:val="00162E4E"/>
    <w:rsid w:val="0016302B"/>
    <w:rsid w:val="0016436A"/>
    <w:rsid w:val="0016504B"/>
    <w:rsid w:val="001665A8"/>
    <w:rsid w:val="00170F51"/>
    <w:rsid w:val="00174368"/>
    <w:rsid w:val="00186FB7"/>
    <w:rsid w:val="001903B5"/>
    <w:rsid w:val="001943AE"/>
    <w:rsid w:val="00195A52"/>
    <w:rsid w:val="0019625A"/>
    <w:rsid w:val="001A7B33"/>
    <w:rsid w:val="001B29E3"/>
    <w:rsid w:val="001B661E"/>
    <w:rsid w:val="001C7C2F"/>
    <w:rsid w:val="001D291B"/>
    <w:rsid w:val="001D6A94"/>
    <w:rsid w:val="001E0ECE"/>
    <w:rsid w:val="001E3775"/>
    <w:rsid w:val="001F094B"/>
    <w:rsid w:val="001F176E"/>
    <w:rsid w:val="0020208F"/>
    <w:rsid w:val="0020386E"/>
    <w:rsid w:val="002042D2"/>
    <w:rsid w:val="00207B1D"/>
    <w:rsid w:val="00212B3A"/>
    <w:rsid w:val="002223C3"/>
    <w:rsid w:val="00224395"/>
    <w:rsid w:val="00226726"/>
    <w:rsid w:val="00235E10"/>
    <w:rsid w:val="00236765"/>
    <w:rsid w:val="00236F61"/>
    <w:rsid w:val="00250481"/>
    <w:rsid w:val="002521D3"/>
    <w:rsid w:val="00252460"/>
    <w:rsid w:val="00253DCA"/>
    <w:rsid w:val="00260D0B"/>
    <w:rsid w:val="00262E46"/>
    <w:rsid w:val="0026491F"/>
    <w:rsid w:val="00267905"/>
    <w:rsid w:val="002701D8"/>
    <w:rsid w:val="00274A0A"/>
    <w:rsid w:val="002778BB"/>
    <w:rsid w:val="002877CB"/>
    <w:rsid w:val="00290BD6"/>
    <w:rsid w:val="00294C06"/>
    <w:rsid w:val="00297658"/>
    <w:rsid w:val="002A55E2"/>
    <w:rsid w:val="002A580E"/>
    <w:rsid w:val="002A6716"/>
    <w:rsid w:val="002B34E2"/>
    <w:rsid w:val="002B3756"/>
    <w:rsid w:val="002C1418"/>
    <w:rsid w:val="002C5DC3"/>
    <w:rsid w:val="002C6CF0"/>
    <w:rsid w:val="002C6E61"/>
    <w:rsid w:val="002D4395"/>
    <w:rsid w:val="002E6CC7"/>
    <w:rsid w:val="002F1BA5"/>
    <w:rsid w:val="002F2072"/>
    <w:rsid w:val="002F3301"/>
    <w:rsid w:val="002F361D"/>
    <w:rsid w:val="002F4744"/>
    <w:rsid w:val="002F77D1"/>
    <w:rsid w:val="00302B4D"/>
    <w:rsid w:val="00304926"/>
    <w:rsid w:val="00310922"/>
    <w:rsid w:val="00311E09"/>
    <w:rsid w:val="0031740E"/>
    <w:rsid w:val="00321C35"/>
    <w:rsid w:val="00324981"/>
    <w:rsid w:val="00324D60"/>
    <w:rsid w:val="003274F5"/>
    <w:rsid w:val="00332013"/>
    <w:rsid w:val="003360C3"/>
    <w:rsid w:val="003362F5"/>
    <w:rsid w:val="003410D1"/>
    <w:rsid w:val="00343022"/>
    <w:rsid w:val="003438AD"/>
    <w:rsid w:val="00344DE1"/>
    <w:rsid w:val="00352842"/>
    <w:rsid w:val="00353DBF"/>
    <w:rsid w:val="00364DF0"/>
    <w:rsid w:val="0036663C"/>
    <w:rsid w:val="00367426"/>
    <w:rsid w:val="00373E8B"/>
    <w:rsid w:val="00382BB1"/>
    <w:rsid w:val="00390780"/>
    <w:rsid w:val="003A17B4"/>
    <w:rsid w:val="003B535E"/>
    <w:rsid w:val="003C0C6D"/>
    <w:rsid w:val="003D7750"/>
    <w:rsid w:val="003E223C"/>
    <w:rsid w:val="003E38A7"/>
    <w:rsid w:val="003E6D51"/>
    <w:rsid w:val="003F3C6C"/>
    <w:rsid w:val="003F5F64"/>
    <w:rsid w:val="00400332"/>
    <w:rsid w:val="0040037A"/>
    <w:rsid w:val="004076CD"/>
    <w:rsid w:val="00410AC1"/>
    <w:rsid w:val="004139A3"/>
    <w:rsid w:val="00417170"/>
    <w:rsid w:val="00424531"/>
    <w:rsid w:val="004246F4"/>
    <w:rsid w:val="00431D36"/>
    <w:rsid w:val="00442CB8"/>
    <w:rsid w:val="00446364"/>
    <w:rsid w:val="00451407"/>
    <w:rsid w:val="004526E6"/>
    <w:rsid w:val="00452EA0"/>
    <w:rsid w:val="00466616"/>
    <w:rsid w:val="00480329"/>
    <w:rsid w:val="00484A23"/>
    <w:rsid w:val="004851E1"/>
    <w:rsid w:val="00495246"/>
    <w:rsid w:val="004A0466"/>
    <w:rsid w:val="004A176B"/>
    <w:rsid w:val="004A3134"/>
    <w:rsid w:val="004A3B8D"/>
    <w:rsid w:val="004A5B3E"/>
    <w:rsid w:val="004C32D8"/>
    <w:rsid w:val="004C7C01"/>
    <w:rsid w:val="004D2FE2"/>
    <w:rsid w:val="004D4968"/>
    <w:rsid w:val="004D4B12"/>
    <w:rsid w:val="004D7DA9"/>
    <w:rsid w:val="004E6615"/>
    <w:rsid w:val="004E7A7D"/>
    <w:rsid w:val="004F276F"/>
    <w:rsid w:val="004F7F7D"/>
    <w:rsid w:val="005050EC"/>
    <w:rsid w:val="00516C43"/>
    <w:rsid w:val="00521A94"/>
    <w:rsid w:val="00525DA8"/>
    <w:rsid w:val="00527071"/>
    <w:rsid w:val="00530FEE"/>
    <w:rsid w:val="00531B26"/>
    <w:rsid w:val="005331AE"/>
    <w:rsid w:val="005332AD"/>
    <w:rsid w:val="00533FFC"/>
    <w:rsid w:val="00537D31"/>
    <w:rsid w:val="00547533"/>
    <w:rsid w:val="00547A01"/>
    <w:rsid w:val="00550F65"/>
    <w:rsid w:val="00551982"/>
    <w:rsid w:val="0055313F"/>
    <w:rsid w:val="00560D3F"/>
    <w:rsid w:val="00562C06"/>
    <w:rsid w:val="00562DFC"/>
    <w:rsid w:val="0057662D"/>
    <w:rsid w:val="00582FB0"/>
    <w:rsid w:val="0058324B"/>
    <w:rsid w:val="00585369"/>
    <w:rsid w:val="00585E86"/>
    <w:rsid w:val="005A611A"/>
    <w:rsid w:val="005D17D9"/>
    <w:rsid w:val="005D18BC"/>
    <w:rsid w:val="005E0949"/>
    <w:rsid w:val="005F5362"/>
    <w:rsid w:val="006076A8"/>
    <w:rsid w:val="006127CF"/>
    <w:rsid w:val="0061325C"/>
    <w:rsid w:val="00613C5B"/>
    <w:rsid w:val="00614601"/>
    <w:rsid w:val="00614E45"/>
    <w:rsid w:val="00615D0F"/>
    <w:rsid w:val="006215FA"/>
    <w:rsid w:val="00622FA3"/>
    <w:rsid w:val="00622FDE"/>
    <w:rsid w:val="006329F3"/>
    <w:rsid w:val="00633117"/>
    <w:rsid w:val="00633B3B"/>
    <w:rsid w:val="00635C82"/>
    <w:rsid w:val="00645252"/>
    <w:rsid w:val="0065265D"/>
    <w:rsid w:val="006549FA"/>
    <w:rsid w:val="006572E0"/>
    <w:rsid w:val="00662F4E"/>
    <w:rsid w:val="00663EC1"/>
    <w:rsid w:val="006733BA"/>
    <w:rsid w:val="00680526"/>
    <w:rsid w:val="0068122F"/>
    <w:rsid w:val="00686A44"/>
    <w:rsid w:val="006931E2"/>
    <w:rsid w:val="006946C2"/>
    <w:rsid w:val="006A644B"/>
    <w:rsid w:val="006B0058"/>
    <w:rsid w:val="006B1176"/>
    <w:rsid w:val="006B296C"/>
    <w:rsid w:val="006C4C13"/>
    <w:rsid w:val="006C4D30"/>
    <w:rsid w:val="006C7F88"/>
    <w:rsid w:val="006D30B5"/>
    <w:rsid w:val="006D3D74"/>
    <w:rsid w:val="006D4014"/>
    <w:rsid w:val="006E053C"/>
    <w:rsid w:val="006E4E28"/>
    <w:rsid w:val="006F18BF"/>
    <w:rsid w:val="006F2413"/>
    <w:rsid w:val="006F2E51"/>
    <w:rsid w:val="006F7247"/>
    <w:rsid w:val="00705CAE"/>
    <w:rsid w:val="007077FB"/>
    <w:rsid w:val="00717482"/>
    <w:rsid w:val="00725EA1"/>
    <w:rsid w:val="007352B8"/>
    <w:rsid w:val="00741985"/>
    <w:rsid w:val="00741B82"/>
    <w:rsid w:val="007501B4"/>
    <w:rsid w:val="00753D09"/>
    <w:rsid w:val="00753EBF"/>
    <w:rsid w:val="00785FEC"/>
    <w:rsid w:val="0078600F"/>
    <w:rsid w:val="007871B3"/>
    <w:rsid w:val="007A45F3"/>
    <w:rsid w:val="007A4A3F"/>
    <w:rsid w:val="007B00FF"/>
    <w:rsid w:val="007B1748"/>
    <w:rsid w:val="007C2593"/>
    <w:rsid w:val="007C3554"/>
    <w:rsid w:val="007C44C6"/>
    <w:rsid w:val="007C679D"/>
    <w:rsid w:val="007C7612"/>
    <w:rsid w:val="007D505C"/>
    <w:rsid w:val="007D508B"/>
    <w:rsid w:val="007E07FD"/>
    <w:rsid w:val="007E0AD5"/>
    <w:rsid w:val="007F015E"/>
    <w:rsid w:val="007F08ED"/>
    <w:rsid w:val="00800ACE"/>
    <w:rsid w:val="008068B0"/>
    <w:rsid w:val="00825F31"/>
    <w:rsid w:val="008275E5"/>
    <w:rsid w:val="008353BC"/>
    <w:rsid w:val="008378E5"/>
    <w:rsid w:val="00850930"/>
    <w:rsid w:val="00850FB9"/>
    <w:rsid w:val="00856CDF"/>
    <w:rsid w:val="00856F6D"/>
    <w:rsid w:val="008655AE"/>
    <w:rsid w:val="008707DC"/>
    <w:rsid w:val="008709BB"/>
    <w:rsid w:val="00870CCB"/>
    <w:rsid w:val="0087728D"/>
    <w:rsid w:val="008901DB"/>
    <w:rsid w:val="00890C10"/>
    <w:rsid w:val="00892E07"/>
    <w:rsid w:val="00892E70"/>
    <w:rsid w:val="00897E5D"/>
    <w:rsid w:val="008A062C"/>
    <w:rsid w:val="008A272D"/>
    <w:rsid w:val="008A648F"/>
    <w:rsid w:val="008A64B3"/>
    <w:rsid w:val="008C238A"/>
    <w:rsid w:val="008C416E"/>
    <w:rsid w:val="008D04FE"/>
    <w:rsid w:val="008D1DD6"/>
    <w:rsid w:val="008D2EDD"/>
    <w:rsid w:val="008D369B"/>
    <w:rsid w:val="008D4D89"/>
    <w:rsid w:val="008D5DF5"/>
    <w:rsid w:val="008D7F11"/>
    <w:rsid w:val="008E1F47"/>
    <w:rsid w:val="008E2790"/>
    <w:rsid w:val="008E281D"/>
    <w:rsid w:val="008E4183"/>
    <w:rsid w:val="008E6176"/>
    <w:rsid w:val="008E7474"/>
    <w:rsid w:val="008F76BB"/>
    <w:rsid w:val="00900C0B"/>
    <w:rsid w:val="0090129C"/>
    <w:rsid w:val="00902929"/>
    <w:rsid w:val="00916D06"/>
    <w:rsid w:val="00921068"/>
    <w:rsid w:val="00921E0D"/>
    <w:rsid w:val="00933F95"/>
    <w:rsid w:val="0093630A"/>
    <w:rsid w:val="0093741E"/>
    <w:rsid w:val="00942365"/>
    <w:rsid w:val="00943578"/>
    <w:rsid w:val="00955CAD"/>
    <w:rsid w:val="00955EA3"/>
    <w:rsid w:val="0095673D"/>
    <w:rsid w:val="00966D49"/>
    <w:rsid w:val="0097268F"/>
    <w:rsid w:val="0098081D"/>
    <w:rsid w:val="00983117"/>
    <w:rsid w:val="00985ECC"/>
    <w:rsid w:val="00990930"/>
    <w:rsid w:val="00991658"/>
    <w:rsid w:val="0099447C"/>
    <w:rsid w:val="00994515"/>
    <w:rsid w:val="00997219"/>
    <w:rsid w:val="009A2553"/>
    <w:rsid w:val="009A70BB"/>
    <w:rsid w:val="009B2AE4"/>
    <w:rsid w:val="009C3735"/>
    <w:rsid w:val="009C50AD"/>
    <w:rsid w:val="009D21C2"/>
    <w:rsid w:val="009E13BB"/>
    <w:rsid w:val="009F5FB3"/>
    <w:rsid w:val="00A0256F"/>
    <w:rsid w:val="00A0444A"/>
    <w:rsid w:val="00A070CB"/>
    <w:rsid w:val="00A1084B"/>
    <w:rsid w:val="00A13622"/>
    <w:rsid w:val="00A143FE"/>
    <w:rsid w:val="00A31F10"/>
    <w:rsid w:val="00A342EE"/>
    <w:rsid w:val="00A3454F"/>
    <w:rsid w:val="00A37E12"/>
    <w:rsid w:val="00A47C44"/>
    <w:rsid w:val="00A519FD"/>
    <w:rsid w:val="00A573E4"/>
    <w:rsid w:val="00A62513"/>
    <w:rsid w:val="00A67620"/>
    <w:rsid w:val="00A753E1"/>
    <w:rsid w:val="00A76CD6"/>
    <w:rsid w:val="00A84274"/>
    <w:rsid w:val="00A9204E"/>
    <w:rsid w:val="00A932FE"/>
    <w:rsid w:val="00A9690D"/>
    <w:rsid w:val="00AA3EC9"/>
    <w:rsid w:val="00AA471C"/>
    <w:rsid w:val="00AA73A4"/>
    <w:rsid w:val="00AC43A4"/>
    <w:rsid w:val="00AC6F1A"/>
    <w:rsid w:val="00AD09F9"/>
    <w:rsid w:val="00AD247A"/>
    <w:rsid w:val="00AF51EA"/>
    <w:rsid w:val="00AF6CE3"/>
    <w:rsid w:val="00B017C6"/>
    <w:rsid w:val="00B15AFA"/>
    <w:rsid w:val="00B16750"/>
    <w:rsid w:val="00B200A0"/>
    <w:rsid w:val="00B2188A"/>
    <w:rsid w:val="00B421DB"/>
    <w:rsid w:val="00B42784"/>
    <w:rsid w:val="00B42B06"/>
    <w:rsid w:val="00B47B4A"/>
    <w:rsid w:val="00B47C12"/>
    <w:rsid w:val="00B5665E"/>
    <w:rsid w:val="00B575A3"/>
    <w:rsid w:val="00B62202"/>
    <w:rsid w:val="00B6692F"/>
    <w:rsid w:val="00B67CDF"/>
    <w:rsid w:val="00B709B4"/>
    <w:rsid w:val="00B73EBC"/>
    <w:rsid w:val="00B75A71"/>
    <w:rsid w:val="00B76875"/>
    <w:rsid w:val="00B869EB"/>
    <w:rsid w:val="00B936F6"/>
    <w:rsid w:val="00BA2906"/>
    <w:rsid w:val="00BA3A8E"/>
    <w:rsid w:val="00BA3B89"/>
    <w:rsid w:val="00BA4FB8"/>
    <w:rsid w:val="00BB3172"/>
    <w:rsid w:val="00BB5289"/>
    <w:rsid w:val="00BB5635"/>
    <w:rsid w:val="00BC4651"/>
    <w:rsid w:val="00BC4F25"/>
    <w:rsid w:val="00BD0597"/>
    <w:rsid w:val="00BD06D3"/>
    <w:rsid w:val="00BF07CE"/>
    <w:rsid w:val="00BF2712"/>
    <w:rsid w:val="00BF4CCD"/>
    <w:rsid w:val="00BF77FE"/>
    <w:rsid w:val="00C03033"/>
    <w:rsid w:val="00C172BD"/>
    <w:rsid w:val="00C200E2"/>
    <w:rsid w:val="00C20129"/>
    <w:rsid w:val="00C201F1"/>
    <w:rsid w:val="00C26459"/>
    <w:rsid w:val="00C33272"/>
    <w:rsid w:val="00C342D0"/>
    <w:rsid w:val="00C35117"/>
    <w:rsid w:val="00C3718C"/>
    <w:rsid w:val="00C374FE"/>
    <w:rsid w:val="00C41634"/>
    <w:rsid w:val="00C460B0"/>
    <w:rsid w:val="00C4720A"/>
    <w:rsid w:val="00C47936"/>
    <w:rsid w:val="00C61BCC"/>
    <w:rsid w:val="00C7492F"/>
    <w:rsid w:val="00C77225"/>
    <w:rsid w:val="00C82090"/>
    <w:rsid w:val="00C8214A"/>
    <w:rsid w:val="00C9281E"/>
    <w:rsid w:val="00C96BF4"/>
    <w:rsid w:val="00C97A16"/>
    <w:rsid w:val="00CA57D9"/>
    <w:rsid w:val="00CA6B6C"/>
    <w:rsid w:val="00CA762D"/>
    <w:rsid w:val="00CB0E10"/>
    <w:rsid w:val="00CB190B"/>
    <w:rsid w:val="00CC3556"/>
    <w:rsid w:val="00CC6C7B"/>
    <w:rsid w:val="00CD1A25"/>
    <w:rsid w:val="00CD20EC"/>
    <w:rsid w:val="00CE1C03"/>
    <w:rsid w:val="00CF1E19"/>
    <w:rsid w:val="00D0027D"/>
    <w:rsid w:val="00D03470"/>
    <w:rsid w:val="00D07AC6"/>
    <w:rsid w:val="00D16E7A"/>
    <w:rsid w:val="00D177EC"/>
    <w:rsid w:val="00D21B39"/>
    <w:rsid w:val="00D3230B"/>
    <w:rsid w:val="00D347B1"/>
    <w:rsid w:val="00D35610"/>
    <w:rsid w:val="00D36835"/>
    <w:rsid w:val="00D44C16"/>
    <w:rsid w:val="00D51D5A"/>
    <w:rsid w:val="00D537BA"/>
    <w:rsid w:val="00D5444A"/>
    <w:rsid w:val="00D60A17"/>
    <w:rsid w:val="00D71BC9"/>
    <w:rsid w:val="00D72C25"/>
    <w:rsid w:val="00D73C51"/>
    <w:rsid w:val="00D746AF"/>
    <w:rsid w:val="00D75BC0"/>
    <w:rsid w:val="00D77819"/>
    <w:rsid w:val="00D80F35"/>
    <w:rsid w:val="00D83A20"/>
    <w:rsid w:val="00D85C4E"/>
    <w:rsid w:val="00D868EA"/>
    <w:rsid w:val="00D87509"/>
    <w:rsid w:val="00D93AA5"/>
    <w:rsid w:val="00DA09F9"/>
    <w:rsid w:val="00DA2A63"/>
    <w:rsid w:val="00DB2085"/>
    <w:rsid w:val="00DB22BA"/>
    <w:rsid w:val="00DB657C"/>
    <w:rsid w:val="00DB6C4A"/>
    <w:rsid w:val="00DC1890"/>
    <w:rsid w:val="00DC2731"/>
    <w:rsid w:val="00DD43DA"/>
    <w:rsid w:val="00DE0D50"/>
    <w:rsid w:val="00DE28BC"/>
    <w:rsid w:val="00DE695E"/>
    <w:rsid w:val="00DF1D86"/>
    <w:rsid w:val="00DF4ED7"/>
    <w:rsid w:val="00DF6D3F"/>
    <w:rsid w:val="00DF7AE9"/>
    <w:rsid w:val="00E060A2"/>
    <w:rsid w:val="00E07646"/>
    <w:rsid w:val="00E07EDA"/>
    <w:rsid w:val="00E13770"/>
    <w:rsid w:val="00E47374"/>
    <w:rsid w:val="00E51CE0"/>
    <w:rsid w:val="00E52E2D"/>
    <w:rsid w:val="00E55F40"/>
    <w:rsid w:val="00E56020"/>
    <w:rsid w:val="00E5626E"/>
    <w:rsid w:val="00E5696B"/>
    <w:rsid w:val="00E57400"/>
    <w:rsid w:val="00E636BC"/>
    <w:rsid w:val="00E66D22"/>
    <w:rsid w:val="00E71EE9"/>
    <w:rsid w:val="00E724F9"/>
    <w:rsid w:val="00E8065C"/>
    <w:rsid w:val="00E8202C"/>
    <w:rsid w:val="00E91CEA"/>
    <w:rsid w:val="00EA040F"/>
    <w:rsid w:val="00EA1EC1"/>
    <w:rsid w:val="00EA5657"/>
    <w:rsid w:val="00EA6403"/>
    <w:rsid w:val="00EA6A48"/>
    <w:rsid w:val="00EB1FC5"/>
    <w:rsid w:val="00EB56B2"/>
    <w:rsid w:val="00EC4E32"/>
    <w:rsid w:val="00ED3F82"/>
    <w:rsid w:val="00ED4D16"/>
    <w:rsid w:val="00ED4EF3"/>
    <w:rsid w:val="00EE44AE"/>
    <w:rsid w:val="00F02314"/>
    <w:rsid w:val="00F043B3"/>
    <w:rsid w:val="00F10C72"/>
    <w:rsid w:val="00F15430"/>
    <w:rsid w:val="00F162A8"/>
    <w:rsid w:val="00F2369E"/>
    <w:rsid w:val="00F240E3"/>
    <w:rsid w:val="00F254C8"/>
    <w:rsid w:val="00F25B7D"/>
    <w:rsid w:val="00F25F92"/>
    <w:rsid w:val="00F27246"/>
    <w:rsid w:val="00F30D8E"/>
    <w:rsid w:val="00F35C57"/>
    <w:rsid w:val="00F37A3B"/>
    <w:rsid w:val="00F40F07"/>
    <w:rsid w:val="00F42E2A"/>
    <w:rsid w:val="00F46044"/>
    <w:rsid w:val="00F47AC8"/>
    <w:rsid w:val="00F5288D"/>
    <w:rsid w:val="00F5378C"/>
    <w:rsid w:val="00F63C9A"/>
    <w:rsid w:val="00F6519B"/>
    <w:rsid w:val="00F65C79"/>
    <w:rsid w:val="00F81EA0"/>
    <w:rsid w:val="00F82460"/>
    <w:rsid w:val="00F878C8"/>
    <w:rsid w:val="00F91A10"/>
    <w:rsid w:val="00F95D36"/>
    <w:rsid w:val="00FB3329"/>
    <w:rsid w:val="00FB3ABF"/>
    <w:rsid w:val="00FB67E3"/>
    <w:rsid w:val="00FC28D1"/>
    <w:rsid w:val="00FC72B8"/>
    <w:rsid w:val="00FD283C"/>
    <w:rsid w:val="00FD486B"/>
    <w:rsid w:val="00FE01AC"/>
    <w:rsid w:val="00FE07DA"/>
    <w:rsid w:val="00FE5780"/>
    <w:rsid w:val="00FE5D6F"/>
    <w:rsid w:val="00FE6CB1"/>
    <w:rsid w:val="00FE78FF"/>
    <w:rsid w:val="00FF1B77"/>
    <w:rsid w:val="00FF473E"/>
    <w:rsid w:val="00FF4E1C"/>
    <w:rsid w:val="00FF64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4415E9"/>
  <w15:chartTrackingRefBased/>
  <w15:docId w15:val="{B6AE0EB8-0C59-4E0D-AD15-40A19D984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750"/>
    <w:pPr>
      <w:spacing w:after="160" w:line="259" w:lineRule="auto"/>
    </w:pPr>
  </w:style>
  <w:style w:type="paragraph" w:styleId="Heading1">
    <w:name w:val="heading 1"/>
    <w:basedOn w:val="Normal"/>
    <w:next w:val="Normal"/>
    <w:link w:val="Heading1Char"/>
    <w:uiPriority w:val="9"/>
    <w:qFormat/>
    <w:rsid w:val="004F7F7D"/>
    <w:pPr>
      <w:keepNext/>
      <w:keepLines/>
      <w:spacing w:before="240" w:after="240"/>
      <w:outlineLvl w:val="0"/>
    </w:pPr>
    <w:rPr>
      <w:rFonts w:asciiTheme="majorHAnsi" w:eastAsiaTheme="majorEastAsia" w:hAnsiTheme="majorHAnsi" w:cstheme="majorBidi"/>
      <w:noProof/>
      <w:color w:val="001432" w:themeColor="text1"/>
      <w:sz w:val="36"/>
      <w:szCs w:val="32"/>
    </w:rPr>
  </w:style>
  <w:style w:type="paragraph" w:styleId="Heading2">
    <w:name w:val="heading 2"/>
    <w:basedOn w:val="Heading1"/>
    <w:next w:val="Normal"/>
    <w:link w:val="Heading2Char"/>
    <w:uiPriority w:val="9"/>
    <w:unhideWhenUsed/>
    <w:qFormat/>
    <w:rsid w:val="00B75A71"/>
    <w:pPr>
      <w:spacing w:before="360" w:after="120"/>
      <w:outlineLvl w:val="1"/>
    </w:pPr>
    <w:rPr>
      <w:color w:val="90A7B2" w:themeColor="accent3"/>
      <w:sz w:val="32"/>
    </w:rPr>
  </w:style>
  <w:style w:type="paragraph" w:styleId="Heading3">
    <w:name w:val="heading 3"/>
    <w:basedOn w:val="Heading1"/>
    <w:next w:val="Normal"/>
    <w:link w:val="Heading3Char"/>
    <w:uiPriority w:val="9"/>
    <w:unhideWhenUsed/>
    <w:qFormat/>
    <w:rsid w:val="00B75A71"/>
    <w:pPr>
      <w:spacing w:after="120"/>
      <w:outlineLvl w:val="2"/>
    </w:pPr>
    <w:rPr>
      <w:color w:val="62808E" w:themeColor="accent3" w:themeShade="BF"/>
      <w:sz w:val="28"/>
    </w:rPr>
  </w:style>
  <w:style w:type="paragraph" w:styleId="Heading4">
    <w:name w:val="heading 4"/>
    <w:basedOn w:val="Normal"/>
    <w:next w:val="Normal"/>
    <w:link w:val="Heading4Char"/>
    <w:uiPriority w:val="9"/>
    <w:unhideWhenUsed/>
    <w:qFormat/>
    <w:rsid w:val="00F47AC8"/>
    <w:pPr>
      <w:keepNext/>
      <w:keepLines/>
      <w:spacing w:before="240"/>
      <w:outlineLvl w:val="3"/>
    </w:pPr>
    <w:rPr>
      <w:rFonts w:asciiTheme="majorHAnsi" w:eastAsiaTheme="majorEastAsia" w:hAnsiTheme="majorHAnsi" w:cstheme="majorHAnsi"/>
      <w:iCs/>
      <w:color w:val="42555F" w:themeColor="accent3" w:themeShade="80"/>
    </w:rPr>
  </w:style>
  <w:style w:type="paragraph" w:styleId="Heading5">
    <w:name w:val="heading 5"/>
    <w:basedOn w:val="Normal"/>
    <w:next w:val="Normal"/>
    <w:link w:val="Heading5Char"/>
    <w:uiPriority w:val="9"/>
    <w:unhideWhenUsed/>
    <w:qFormat/>
    <w:rsid w:val="00B75A71"/>
    <w:pPr>
      <w:keepNext/>
      <w:keepLines/>
      <w:spacing w:before="240" w:after="60"/>
      <w:outlineLvl w:val="4"/>
    </w:pPr>
    <w:rPr>
      <w:rFonts w:asciiTheme="majorHAnsi" w:eastAsiaTheme="majorEastAsia" w:hAnsiTheme="majorHAnsi" w:cstheme="majorHAnsi"/>
      <w:color w:val="001432" w:themeColor="text1"/>
    </w:rPr>
  </w:style>
  <w:style w:type="paragraph" w:styleId="Heading6">
    <w:name w:val="heading 6"/>
    <w:basedOn w:val="Normal"/>
    <w:next w:val="Normal"/>
    <w:link w:val="Heading6Char"/>
    <w:uiPriority w:val="9"/>
    <w:unhideWhenUsed/>
    <w:qFormat/>
    <w:rsid w:val="00C20129"/>
    <w:pPr>
      <w:spacing w:before="240" w:after="20"/>
      <w:outlineLvl w:val="5"/>
    </w:pPr>
    <w:rPr>
      <w:rFonts w:cstheme="minorHAnsi"/>
      <w:color w:val="7962CE" w:themeColor="accent1"/>
    </w:rPr>
  </w:style>
  <w:style w:type="paragraph" w:styleId="Heading7">
    <w:name w:val="heading 7"/>
    <w:basedOn w:val="Normal"/>
    <w:next w:val="Normal"/>
    <w:link w:val="Heading7Char"/>
    <w:uiPriority w:val="9"/>
    <w:unhideWhenUsed/>
    <w:rsid w:val="006D3D74"/>
    <w:pPr>
      <w:keepNext/>
      <w:keepLines/>
      <w:spacing w:before="40"/>
      <w:outlineLvl w:val="6"/>
    </w:pPr>
    <w:rPr>
      <w:rFonts w:asciiTheme="majorHAnsi" w:eastAsiaTheme="majorEastAsia" w:hAnsiTheme="majorHAnsi" w:cstheme="majorBidi"/>
      <w:i/>
      <w:iCs/>
      <w:color w:val="342473" w:themeColor="accent1" w:themeShade="7F"/>
    </w:rPr>
  </w:style>
  <w:style w:type="paragraph" w:styleId="Heading8">
    <w:name w:val="heading 8"/>
    <w:basedOn w:val="Normal"/>
    <w:next w:val="Normal"/>
    <w:link w:val="Heading8Char"/>
    <w:uiPriority w:val="9"/>
    <w:unhideWhenUsed/>
    <w:rsid w:val="007A45F3"/>
    <w:pPr>
      <w:keepNext/>
      <w:keepLines/>
      <w:spacing w:before="40"/>
      <w:outlineLvl w:val="7"/>
    </w:pPr>
    <w:rPr>
      <w:rFonts w:asciiTheme="majorHAnsi" w:eastAsiaTheme="majorEastAsia" w:hAnsiTheme="majorHAnsi" w:cstheme="majorBidi"/>
      <w:color w:val="4F36AD" w:themeColor="accent1" w:themeShade="BF"/>
      <w:szCs w:val="21"/>
    </w:rPr>
  </w:style>
  <w:style w:type="paragraph" w:styleId="Heading9">
    <w:name w:val="heading 9"/>
    <w:basedOn w:val="Normal"/>
    <w:next w:val="Normal"/>
    <w:link w:val="Heading9Char"/>
    <w:uiPriority w:val="9"/>
    <w:unhideWhenUsed/>
    <w:rsid w:val="007A45F3"/>
    <w:pPr>
      <w:keepNext/>
      <w:keepLines/>
      <w:spacing w:before="40"/>
      <w:outlineLvl w:val="8"/>
    </w:pPr>
    <w:rPr>
      <w:rFonts w:asciiTheme="majorHAnsi" w:eastAsiaTheme="majorEastAsia" w:hAnsiTheme="majorHAnsi" w:cstheme="majorBidi"/>
      <w:i/>
      <w:iCs/>
      <w:color w:val="4F36AD" w:themeColor="accent1" w:themeShade="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F7D"/>
    <w:rPr>
      <w:rFonts w:asciiTheme="majorHAnsi" w:eastAsiaTheme="majorEastAsia" w:hAnsiTheme="majorHAnsi" w:cstheme="majorBidi"/>
      <w:noProof/>
      <w:color w:val="001432" w:themeColor="text1"/>
      <w:sz w:val="36"/>
      <w:szCs w:val="32"/>
      <w:lang w:val="en-GB"/>
    </w:rPr>
  </w:style>
  <w:style w:type="character" w:customStyle="1" w:styleId="Heading2Char">
    <w:name w:val="Heading 2 Char"/>
    <w:basedOn w:val="DefaultParagraphFont"/>
    <w:link w:val="Heading2"/>
    <w:uiPriority w:val="9"/>
    <w:rsid w:val="00B75A71"/>
    <w:rPr>
      <w:rFonts w:asciiTheme="majorHAnsi" w:eastAsiaTheme="majorEastAsia" w:hAnsiTheme="majorHAnsi" w:cstheme="majorBidi"/>
      <w:noProof/>
      <w:color w:val="90A7B2" w:themeColor="accent3"/>
      <w:sz w:val="32"/>
      <w:szCs w:val="32"/>
      <w:lang w:val="en-GB"/>
    </w:rPr>
  </w:style>
  <w:style w:type="character" w:customStyle="1" w:styleId="Heading3Char">
    <w:name w:val="Heading 3 Char"/>
    <w:basedOn w:val="DefaultParagraphFont"/>
    <w:link w:val="Heading3"/>
    <w:uiPriority w:val="9"/>
    <w:rsid w:val="00B75A71"/>
    <w:rPr>
      <w:rFonts w:asciiTheme="majorHAnsi" w:eastAsiaTheme="majorEastAsia" w:hAnsiTheme="majorHAnsi" w:cstheme="majorBidi"/>
      <w:noProof/>
      <w:color w:val="62808E" w:themeColor="accent3" w:themeShade="BF"/>
      <w:sz w:val="28"/>
      <w:szCs w:val="32"/>
      <w:lang w:val="en-GB"/>
    </w:rPr>
  </w:style>
  <w:style w:type="character" w:customStyle="1" w:styleId="Heading4Char">
    <w:name w:val="Heading 4 Char"/>
    <w:basedOn w:val="DefaultParagraphFont"/>
    <w:link w:val="Heading4"/>
    <w:uiPriority w:val="9"/>
    <w:rsid w:val="00F47AC8"/>
    <w:rPr>
      <w:rFonts w:asciiTheme="majorHAnsi" w:eastAsiaTheme="majorEastAsia" w:hAnsiTheme="majorHAnsi" w:cstheme="majorHAnsi"/>
      <w:iCs/>
      <w:color w:val="42555F" w:themeColor="accent3" w:themeShade="80"/>
      <w:sz w:val="20"/>
      <w:lang w:val="en-GB"/>
    </w:rPr>
  </w:style>
  <w:style w:type="character" w:customStyle="1" w:styleId="Heading5Char">
    <w:name w:val="Heading 5 Char"/>
    <w:basedOn w:val="DefaultParagraphFont"/>
    <w:link w:val="Heading5"/>
    <w:uiPriority w:val="9"/>
    <w:rsid w:val="00B75A71"/>
    <w:rPr>
      <w:rFonts w:asciiTheme="majorHAnsi" w:eastAsiaTheme="majorEastAsia" w:hAnsiTheme="majorHAnsi" w:cstheme="majorHAnsi"/>
      <w:color w:val="001432" w:themeColor="text1"/>
      <w:sz w:val="20"/>
      <w:lang w:val="en-GB"/>
    </w:rPr>
  </w:style>
  <w:style w:type="character" w:customStyle="1" w:styleId="Heading6Char">
    <w:name w:val="Heading 6 Char"/>
    <w:basedOn w:val="DefaultParagraphFont"/>
    <w:link w:val="Heading6"/>
    <w:uiPriority w:val="9"/>
    <w:rsid w:val="00C20129"/>
    <w:rPr>
      <w:rFonts w:cstheme="minorHAnsi"/>
      <w:color w:val="7962CE" w:themeColor="accent1"/>
      <w:sz w:val="18"/>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342473" w:themeColor="accent1" w:themeShade="7F"/>
    </w:rPr>
  </w:style>
  <w:style w:type="character" w:customStyle="1" w:styleId="Heading8Char">
    <w:name w:val="Heading 8 Char"/>
    <w:basedOn w:val="DefaultParagraphFont"/>
    <w:link w:val="Heading8"/>
    <w:uiPriority w:val="9"/>
    <w:rsid w:val="007A45F3"/>
    <w:rPr>
      <w:rFonts w:asciiTheme="majorHAnsi" w:eastAsiaTheme="majorEastAsia" w:hAnsiTheme="majorHAnsi" w:cstheme="majorBidi"/>
      <w:color w:val="4F36AD" w:themeColor="accent1" w:themeShade="BF"/>
      <w:sz w:val="20"/>
      <w:szCs w:val="21"/>
    </w:rPr>
  </w:style>
  <w:style w:type="character" w:customStyle="1" w:styleId="Heading9Char">
    <w:name w:val="Heading 9 Char"/>
    <w:basedOn w:val="DefaultParagraphFont"/>
    <w:link w:val="Heading9"/>
    <w:uiPriority w:val="9"/>
    <w:rsid w:val="007A45F3"/>
    <w:rPr>
      <w:rFonts w:asciiTheme="majorHAnsi" w:eastAsiaTheme="majorEastAsia" w:hAnsiTheme="majorHAnsi" w:cstheme="majorBidi"/>
      <w:i/>
      <w:iCs/>
      <w:color w:val="4F36AD" w:themeColor="accent1" w:themeShade="BF"/>
      <w:sz w:val="20"/>
      <w:szCs w:val="21"/>
    </w:rPr>
  </w:style>
  <w:style w:type="paragraph" w:styleId="Title">
    <w:name w:val="Title"/>
    <w:basedOn w:val="Normal"/>
    <w:next w:val="Normal"/>
    <w:link w:val="TitleChar"/>
    <w:uiPriority w:val="10"/>
    <w:qFormat/>
    <w:rsid w:val="00E56020"/>
    <w:pPr>
      <w:contextualSpacing/>
    </w:pPr>
    <w:rPr>
      <w:rFonts w:asciiTheme="majorHAnsi" w:eastAsiaTheme="majorEastAsia" w:hAnsiTheme="majorHAnsi" w:cstheme="majorBidi"/>
      <w:color w:val="001432" w:themeColor="text1"/>
      <w:spacing w:val="-10"/>
      <w:kern w:val="28"/>
      <w:sz w:val="72"/>
      <w:szCs w:val="56"/>
    </w:rPr>
  </w:style>
  <w:style w:type="character" w:customStyle="1" w:styleId="TitleChar">
    <w:name w:val="Title Char"/>
    <w:basedOn w:val="DefaultParagraphFont"/>
    <w:link w:val="Title"/>
    <w:uiPriority w:val="10"/>
    <w:rsid w:val="00E56020"/>
    <w:rPr>
      <w:rFonts w:asciiTheme="majorHAnsi" w:eastAsiaTheme="majorEastAsia" w:hAnsiTheme="majorHAnsi" w:cstheme="majorBidi"/>
      <w:color w:val="001432" w:themeColor="text1"/>
      <w:spacing w:val="-10"/>
      <w:kern w:val="28"/>
      <w:sz w:val="72"/>
      <w:szCs w:val="56"/>
    </w:rPr>
  </w:style>
  <w:style w:type="character" w:styleId="Emphasis">
    <w:name w:val="Emphasis"/>
    <w:basedOn w:val="DefaultParagraphFont"/>
    <w:uiPriority w:val="20"/>
    <w:rsid w:val="0093630A"/>
    <w:rPr>
      <w:i/>
      <w:iCs/>
    </w:rPr>
  </w:style>
  <w:style w:type="character" w:styleId="Strong">
    <w:name w:val="Strong"/>
    <w:aliases w:val="Bold"/>
    <w:basedOn w:val="DefaultParagraphFont"/>
    <w:uiPriority w:val="22"/>
    <w:qFormat/>
    <w:rsid w:val="008D4D89"/>
    <w:rPr>
      <w:rFonts w:asciiTheme="majorHAnsi" w:hAnsiTheme="majorHAnsi"/>
      <w:b w:val="0"/>
      <w:bCs/>
    </w:rPr>
  </w:style>
  <w:style w:type="paragraph" w:styleId="Quote">
    <w:name w:val="Quote"/>
    <w:basedOn w:val="Normal"/>
    <w:next w:val="Normal"/>
    <w:link w:val="QuoteChar"/>
    <w:uiPriority w:val="29"/>
    <w:pPr>
      <w:spacing w:before="200"/>
      <w:ind w:left="864" w:right="864"/>
      <w:jc w:val="center"/>
    </w:pPr>
    <w:rPr>
      <w:i/>
      <w:iCs/>
      <w:color w:val="0042A5" w:themeColor="text1" w:themeTint="BF"/>
    </w:rPr>
  </w:style>
  <w:style w:type="character" w:customStyle="1" w:styleId="QuoteChar">
    <w:name w:val="Quote Char"/>
    <w:basedOn w:val="DefaultParagraphFont"/>
    <w:link w:val="Quote"/>
    <w:uiPriority w:val="29"/>
    <w:rPr>
      <w:i/>
      <w:iCs/>
      <w:color w:val="0042A5" w:themeColor="text1" w:themeTint="BF"/>
    </w:rPr>
  </w:style>
  <w:style w:type="paragraph" w:styleId="IntenseQuote">
    <w:name w:val="Intense Quote"/>
    <w:basedOn w:val="Normal"/>
    <w:next w:val="Normal"/>
    <w:link w:val="IntenseQuoteChar"/>
    <w:uiPriority w:val="30"/>
    <w:rsid w:val="00645252"/>
    <w:pPr>
      <w:pBdr>
        <w:top w:val="single" w:sz="4" w:space="10" w:color="352474" w:themeColor="accent1" w:themeShade="80"/>
        <w:bottom w:val="single" w:sz="4" w:space="10" w:color="352474" w:themeColor="accent1" w:themeShade="80"/>
      </w:pBdr>
      <w:spacing w:before="360" w:after="360"/>
      <w:ind w:left="864" w:right="864"/>
      <w:jc w:val="center"/>
    </w:pPr>
    <w:rPr>
      <w:i/>
      <w:iCs/>
      <w:color w:val="352474" w:themeColor="accent1" w:themeShade="80"/>
    </w:rPr>
  </w:style>
  <w:style w:type="character" w:customStyle="1" w:styleId="IntenseQuoteChar">
    <w:name w:val="Intense Quote Char"/>
    <w:basedOn w:val="DefaultParagraphFont"/>
    <w:link w:val="IntenseQuote"/>
    <w:uiPriority w:val="30"/>
    <w:rsid w:val="00645252"/>
    <w:rPr>
      <w:i/>
      <w:iCs/>
      <w:color w:val="352474" w:themeColor="accent1" w:themeShade="80"/>
    </w:rPr>
  </w:style>
  <w:style w:type="character" w:styleId="Hyperlink">
    <w:name w:val="Hyperlink"/>
    <w:basedOn w:val="DefaultParagraphFont"/>
    <w:uiPriority w:val="99"/>
    <w:unhideWhenUsed/>
    <w:rsid w:val="00645252"/>
    <w:rPr>
      <w:color w:val="352474" w:themeColor="accent1" w:themeShade="80"/>
      <w:u w:val="single"/>
    </w:rPr>
  </w:style>
  <w:style w:type="character" w:styleId="FollowedHyperlink">
    <w:name w:val="FollowedHyperlink"/>
    <w:basedOn w:val="DefaultParagraphFont"/>
    <w:uiPriority w:val="99"/>
    <w:unhideWhenUsed/>
    <w:rPr>
      <w:color w:val="1ED7D7" w:themeColor="followedHyperlink"/>
      <w:u w:val="single"/>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7962CE" w:themeColor="accent1" w:shadow="1" w:frame="1"/>
        <w:left w:val="single" w:sz="2" w:space="10" w:color="7962CE" w:themeColor="accent1" w:shadow="1" w:frame="1"/>
        <w:bottom w:val="single" w:sz="2" w:space="10" w:color="7962CE" w:themeColor="accent1" w:shadow="1" w:frame="1"/>
        <w:right w:val="single" w:sz="2" w:space="10" w:color="7962CE" w:themeColor="accent1" w:shadow="1" w:frame="1"/>
      </w:pBdr>
      <w:ind w:left="1152" w:right="1152"/>
    </w:pPr>
    <w:rPr>
      <w:rFonts w:eastAsiaTheme="minorEastAsia"/>
      <w:i/>
      <w:iCs/>
      <w:color w:val="352474" w:themeColor="accent1" w:themeShade="80"/>
    </w:rPr>
  </w:style>
  <w:style w:type="paragraph" w:styleId="BodyText3">
    <w:name w:val="Body Text 3"/>
    <w:basedOn w:val="Normal"/>
    <w:link w:val="BodyText3Char"/>
    <w:uiPriority w:val="99"/>
    <w:semiHidden/>
    <w:unhideWhenUsed/>
    <w:rsid w:val="00645252"/>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645252"/>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1E0013"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table" w:styleId="TableGrid">
    <w:name w:val="Table Grid"/>
    <w:basedOn w:val="TableNormal"/>
    <w:uiPriority w:val="39"/>
    <w:rsid w:val="00A573E4"/>
    <w:tblPr>
      <w:tblBorders>
        <w:top w:val="single" w:sz="4" w:space="0" w:color="90A7B2" w:themeColor="accent3"/>
        <w:bottom w:val="single" w:sz="4" w:space="0" w:color="90A7B2" w:themeColor="accent3"/>
        <w:insideH w:val="single" w:sz="4" w:space="0" w:color="90A7B2" w:themeColor="accent3"/>
      </w:tblBorders>
      <w:tblCellMar>
        <w:top w:w="113" w:type="dxa"/>
        <w:left w:w="0" w:type="dxa"/>
        <w:bottom w:w="170" w:type="dxa"/>
        <w:right w:w="142" w:type="dxa"/>
      </w:tblCellMar>
    </w:tblPr>
    <w:tblStylePr w:type="lastCol">
      <w:tblPr>
        <w:tblCellMar>
          <w:top w:w="85" w:type="dxa"/>
          <w:left w:w="113" w:type="dxa"/>
          <w:bottom w:w="170" w:type="dxa"/>
          <w:right w:w="142" w:type="dxa"/>
        </w:tblCellMar>
      </w:tblPr>
    </w:tblStylePr>
  </w:style>
  <w:style w:type="paragraph" w:customStyle="1" w:styleId="Bullets1">
    <w:name w:val="Bullets 1"/>
    <w:basedOn w:val="Normal"/>
    <w:uiPriority w:val="1"/>
    <w:qFormat/>
    <w:rsid w:val="00FD283C"/>
    <w:pPr>
      <w:numPr>
        <w:numId w:val="3"/>
      </w:numPr>
      <w:spacing w:after="60"/>
      <w:ind w:left="220" w:hanging="210"/>
    </w:pPr>
    <w:rPr>
      <w:lang w:val="en-GB"/>
    </w:rPr>
  </w:style>
  <w:style w:type="paragraph" w:customStyle="1" w:styleId="bullet2">
    <w:name w:val="bullet 2"/>
    <w:basedOn w:val="Normal"/>
    <w:uiPriority w:val="2"/>
    <w:qFormat/>
    <w:rsid w:val="00B75A71"/>
    <w:pPr>
      <w:numPr>
        <w:ilvl w:val="1"/>
        <w:numId w:val="8"/>
      </w:numPr>
      <w:ind w:left="620" w:hanging="274"/>
      <w:contextualSpacing/>
    </w:pPr>
    <w:rPr>
      <w:sz w:val="18"/>
    </w:rPr>
  </w:style>
  <w:style w:type="paragraph" w:styleId="TOC1">
    <w:name w:val="toc 1"/>
    <w:basedOn w:val="Normal"/>
    <w:next w:val="Normal"/>
    <w:autoRedefine/>
    <w:uiPriority w:val="39"/>
    <w:unhideWhenUsed/>
    <w:rsid w:val="00DA09F9"/>
    <w:pPr>
      <w:tabs>
        <w:tab w:val="right" w:leader="underscore" w:pos="9027"/>
      </w:tabs>
      <w:spacing w:after="60"/>
    </w:pPr>
    <w:rPr>
      <w:rFonts w:asciiTheme="majorHAnsi" w:hAnsiTheme="majorHAnsi" w:cstheme="majorHAnsi"/>
      <w:bCs/>
      <w:noProof/>
      <w:color w:val="001432" w:themeColor="text1"/>
      <w:szCs w:val="24"/>
      <w:u w:color="001432" w:themeColor="text1"/>
    </w:rPr>
  </w:style>
  <w:style w:type="paragraph" w:styleId="TOC2">
    <w:name w:val="toc 2"/>
    <w:basedOn w:val="Normal"/>
    <w:next w:val="Normal"/>
    <w:autoRedefine/>
    <w:uiPriority w:val="39"/>
    <w:unhideWhenUsed/>
    <w:rsid w:val="00E56020"/>
    <w:pPr>
      <w:tabs>
        <w:tab w:val="right" w:pos="9017"/>
      </w:tabs>
      <w:spacing w:after="60"/>
    </w:pPr>
    <w:rPr>
      <w:rFonts w:cstheme="minorHAnsi"/>
      <w:bCs/>
      <w:noProof/>
      <w:color w:val="62808E" w:themeColor="accent3" w:themeShade="BF"/>
    </w:rPr>
  </w:style>
  <w:style w:type="paragraph" w:styleId="TOC3">
    <w:name w:val="toc 3"/>
    <w:basedOn w:val="Normal"/>
    <w:next w:val="Normal"/>
    <w:autoRedefine/>
    <w:uiPriority w:val="39"/>
    <w:unhideWhenUsed/>
    <w:rsid w:val="00E56020"/>
    <w:pPr>
      <w:tabs>
        <w:tab w:val="right" w:pos="9017"/>
      </w:tabs>
      <w:spacing w:after="60"/>
      <w:ind w:left="284"/>
    </w:pPr>
    <w:rPr>
      <w:rFonts w:cstheme="minorHAnsi"/>
      <w:noProof/>
      <w:color w:val="62808E" w:themeColor="accent3" w:themeShade="BF"/>
    </w:rPr>
  </w:style>
  <w:style w:type="paragraph" w:styleId="TOC4">
    <w:name w:val="toc 4"/>
    <w:basedOn w:val="Normal"/>
    <w:next w:val="Normal"/>
    <w:autoRedefine/>
    <w:uiPriority w:val="39"/>
    <w:unhideWhenUsed/>
    <w:rsid w:val="00E56020"/>
    <w:pPr>
      <w:tabs>
        <w:tab w:val="right" w:pos="9017"/>
      </w:tabs>
      <w:ind w:left="400"/>
    </w:pPr>
    <w:rPr>
      <w:rFonts w:cstheme="minorHAnsi"/>
      <w:noProof/>
      <w:color w:val="42555F" w:themeColor="accent3" w:themeShade="80"/>
    </w:rPr>
  </w:style>
  <w:style w:type="paragraph" w:styleId="TOC5">
    <w:name w:val="toc 5"/>
    <w:basedOn w:val="Normal"/>
    <w:next w:val="Normal"/>
    <w:autoRedefine/>
    <w:uiPriority w:val="39"/>
    <w:unhideWhenUsed/>
    <w:rsid w:val="00921068"/>
    <w:pPr>
      <w:ind w:left="600"/>
    </w:pPr>
    <w:rPr>
      <w:rFonts w:cstheme="minorHAnsi"/>
    </w:rPr>
  </w:style>
  <w:style w:type="paragraph" w:styleId="TOC6">
    <w:name w:val="toc 6"/>
    <w:basedOn w:val="Normal"/>
    <w:next w:val="Normal"/>
    <w:autoRedefine/>
    <w:uiPriority w:val="39"/>
    <w:unhideWhenUsed/>
    <w:rsid w:val="00921068"/>
    <w:pPr>
      <w:ind w:left="800"/>
    </w:pPr>
    <w:rPr>
      <w:rFonts w:cstheme="minorHAnsi"/>
    </w:rPr>
  </w:style>
  <w:style w:type="paragraph" w:styleId="TOC7">
    <w:name w:val="toc 7"/>
    <w:basedOn w:val="Normal"/>
    <w:next w:val="Normal"/>
    <w:autoRedefine/>
    <w:uiPriority w:val="39"/>
    <w:unhideWhenUsed/>
    <w:rsid w:val="00921068"/>
    <w:pPr>
      <w:ind w:left="1000"/>
    </w:pPr>
    <w:rPr>
      <w:rFonts w:cstheme="minorHAnsi"/>
    </w:rPr>
  </w:style>
  <w:style w:type="paragraph" w:styleId="TOC8">
    <w:name w:val="toc 8"/>
    <w:basedOn w:val="Normal"/>
    <w:next w:val="Normal"/>
    <w:autoRedefine/>
    <w:uiPriority w:val="39"/>
    <w:unhideWhenUsed/>
    <w:rsid w:val="00921068"/>
    <w:pPr>
      <w:ind w:left="1200"/>
    </w:pPr>
    <w:rPr>
      <w:rFonts w:cstheme="minorHAnsi"/>
    </w:rPr>
  </w:style>
  <w:style w:type="paragraph" w:styleId="TOC9">
    <w:name w:val="toc 9"/>
    <w:basedOn w:val="Normal"/>
    <w:next w:val="Normal"/>
    <w:autoRedefine/>
    <w:uiPriority w:val="39"/>
    <w:unhideWhenUsed/>
    <w:rsid w:val="00921068"/>
    <w:pPr>
      <w:ind w:left="1400"/>
    </w:pPr>
    <w:rPr>
      <w:rFonts w:cstheme="minorHAnsi"/>
    </w:rPr>
  </w:style>
  <w:style w:type="paragraph" w:styleId="NormalWeb">
    <w:name w:val="Normal (Web)"/>
    <w:basedOn w:val="Normal"/>
    <w:uiPriority w:val="99"/>
    <w:semiHidden/>
    <w:unhideWhenUsed/>
    <w:rsid w:val="00985ECC"/>
    <w:pPr>
      <w:spacing w:before="100" w:beforeAutospacing="1" w:after="100" w:afterAutospacing="1"/>
    </w:pPr>
    <w:rPr>
      <w:rFonts w:ascii="Times New Roman" w:eastAsiaTheme="minorEastAsia" w:hAnsi="Times New Roman" w:cs="Times New Roman"/>
      <w:sz w:val="24"/>
      <w:szCs w:val="24"/>
    </w:rPr>
  </w:style>
  <w:style w:type="character" w:customStyle="1" w:styleId="gmail-s1">
    <w:name w:val="gmail-s1"/>
    <w:basedOn w:val="DefaultParagraphFont"/>
    <w:rsid w:val="00ED3F82"/>
  </w:style>
  <w:style w:type="character" w:customStyle="1" w:styleId="apple-converted-space">
    <w:name w:val="apple-converted-space"/>
    <w:basedOn w:val="DefaultParagraphFont"/>
    <w:rsid w:val="00EA6A48"/>
  </w:style>
  <w:style w:type="paragraph" w:styleId="Subtitle">
    <w:name w:val="Subtitle"/>
    <w:basedOn w:val="Normal"/>
    <w:next w:val="Normal"/>
    <w:link w:val="SubtitleChar"/>
    <w:uiPriority w:val="11"/>
    <w:rsid w:val="00753D09"/>
    <w:pPr>
      <w:numPr>
        <w:ilvl w:val="1"/>
      </w:numPr>
    </w:pPr>
    <w:rPr>
      <w:rFonts w:asciiTheme="majorHAnsi" w:eastAsiaTheme="minorEastAsia" w:hAnsiTheme="majorHAnsi" w:cstheme="majorHAnsi"/>
      <w:color w:val="1ED7D7" w:themeColor="accent2"/>
      <w:spacing w:val="15"/>
      <w:sz w:val="44"/>
    </w:rPr>
  </w:style>
  <w:style w:type="character" w:customStyle="1" w:styleId="SubtitleChar">
    <w:name w:val="Subtitle Char"/>
    <w:basedOn w:val="DefaultParagraphFont"/>
    <w:link w:val="Subtitle"/>
    <w:uiPriority w:val="11"/>
    <w:rsid w:val="00753D09"/>
    <w:rPr>
      <w:rFonts w:asciiTheme="majorHAnsi" w:eastAsiaTheme="minorEastAsia" w:hAnsiTheme="majorHAnsi" w:cstheme="majorHAnsi"/>
      <w:color w:val="1ED7D7" w:themeColor="accent2"/>
      <w:spacing w:val="15"/>
      <w:sz w:val="44"/>
    </w:rPr>
  </w:style>
  <w:style w:type="paragraph" w:customStyle="1" w:styleId="QusetionPage">
    <w:name w:val="Qusetion Page"/>
    <w:basedOn w:val="Heading1"/>
    <w:link w:val="QusetionPageChar"/>
    <w:uiPriority w:val="13"/>
    <w:qFormat/>
    <w:rsid w:val="003F5F64"/>
    <w:pPr>
      <w:tabs>
        <w:tab w:val="left" w:pos="7371"/>
      </w:tabs>
    </w:pPr>
  </w:style>
  <w:style w:type="table" w:styleId="TableGridLight">
    <w:name w:val="Grid Table Light"/>
    <w:basedOn w:val="TableNormal"/>
    <w:uiPriority w:val="40"/>
    <w:rsid w:val="00D16E7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QusetionPageChar">
    <w:name w:val="Qusetion Page Char"/>
    <w:basedOn w:val="Heading1Char"/>
    <w:link w:val="QusetionPage"/>
    <w:uiPriority w:val="13"/>
    <w:rsid w:val="00D16E7A"/>
    <w:rPr>
      <w:rFonts w:asciiTheme="majorHAnsi" w:eastAsiaTheme="majorEastAsia" w:hAnsiTheme="majorHAnsi" w:cstheme="majorBidi"/>
      <w:noProof/>
      <w:color w:val="001432" w:themeColor="text1"/>
      <w:sz w:val="40"/>
      <w:szCs w:val="32"/>
      <w:lang w:val="en-GB"/>
    </w:rPr>
  </w:style>
  <w:style w:type="paragraph" w:customStyle="1" w:styleId="Biographies">
    <w:name w:val="Biographies"/>
    <w:basedOn w:val="Normal"/>
    <w:link w:val="BiographiesChar"/>
    <w:uiPriority w:val="13"/>
    <w:qFormat/>
    <w:rsid w:val="00FD486B"/>
    <w:rPr>
      <w:color w:val="7962CE" w:themeColor="accent1"/>
      <w:sz w:val="24"/>
    </w:rPr>
  </w:style>
  <w:style w:type="paragraph" w:styleId="TOCHeading">
    <w:name w:val="TOC Heading"/>
    <w:basedOn w:val="Heading1"/>
    <w:next w:val="Normal"/>
    <w:uiPriority w:val="39"/>
    <w:unhideWhenUsed/>
    <w:rsid w:val="00F27246"/>
    <w:pPr>
      <w:spacing w:after="0"/>
      <w:outlineLvl w:val="9"/>
    </w:pPr>
    <w:rPr>
      <w:noProof w:val="0"/>
      <w:color w:val="4F36AD" w:themeColor="accent1" w:themeShade="BF"/>
      <w:sz w:val="32"/>
    </w:rPr>
  </w:style>
  <w:style w:type="character" w:customStyle="1" w:styleId="BiographiesChar">
    <w:name w:val="Biographies Char"/>
    <w:basedOn w:val="Heading3Char"/>
    <w:link w:val="Biographies"/>
    <w:uiPriority w:val="13"/>
    <w:rsid w:val="00FD486B"/>
    <w:rPr>
      <w:rFonts w:asciiTheme="majorHAnsi" w:eastAsiaTheme="majorEastAsia" w:hAnsiTheme="majorHAnsi" w:cstheme="majorBidi"/>
      <w:noProof/>
      <w:color w:val="7962CE" w:themeColor="accent1"/>
      <w:sz w:val="24"/>
      <w:szCs w:val="32"/>
      <w:lang w:val="en-GB"/>
    </w:rPr>
  </w:style>
  <w:style w:type="table" w:styleId="PlainTable2">
    <w:name w:val="Plain Table 2"/>
    <w:basedOn w:val="TableNormal"/>
    <w:uiPriority w:val="42"/>
    <w:rsid w:val="00311E09"/>
    <w:rPr>
      <w:color w:val="001432" w:themeColor="text1"/>
    </w:rPr>
    <w:tblPr>
      <w:tblStyleRowBandSize w:val="1"/>
      <w:tblStyleColBandSize w:val="1"/>
      <w:tblBorders>
        <w:insideV w:val="single" w:sz="4" w:space="0" w:color="90A7B2" w:themeColor="accent3"/>
      </w:tblBorders>
    </w:tblPr>
    <w:tcPr>
      <w:shd w:val="clear" w:color="auto" w:fill="FFFFFF" w:themeFill="background1"/>
      <w:tcMar>
        <w:left w:w="0" w:type="dxa"/>
        <w:right w:w="142" w:type="dxa"/>
      </w:tcMar>
    </w:tcPr>
    <w:tblStylePr w:type="firstRow">
      <w:rPr>
        <w:b/>
        <w:bCs/>
      </w:rPr>
      <w:tblPr/>
      <w:tcPr>
        <w:tcBorders>
          <w:top w:val="nil"/>
          <w:left w:val="nil"/>
          <w:bottom w:val="nil"/>
          <w:right w:val="nil"/>
          <w:insideH w:val="nil"/>
          <w:insideV w:val="nil"/>
          <w:tl2br w:val="nil"/>
          <w:tr2bl w:val="nil"/>
        </w:tcBorders>
        <w:shd w:val="clear" w:color="auto" w:fill="FFFFFF" w:themeFill="background1"/>
      </w:tcPr>
    </w:tblStylePr>
    <w:tblStylePr w:type="lastRow">
      <w:rPr>
        <w:b/>
        <w:bCs/>
      </w:rPr>
      <w:tblPr/>
      <w:tcPr>
        <w:tcBorders>
          <w:top w:val="nil"/>
          <w:left w:val="nil"/>
          <w:bottom w:val="nil"/>
          <w:right w:val="nil"/>
          <w:insideH w:val="nil"/>
          <w:insideV w:val="nil"/>
          <w:tl2br w:val="nil"/>
          <w:tr2bl w:val="nil"/>
        </w:tcBorders>
        <w:shd w:val="clear" w:color="auto" w:fill="FFFFFF" w:themeFill="background1"/>
      </w:tcPr>
    </w:tblStylePr>
    <w:tblStylePr w:type="firstCol">
      <w:rPr>
        <w:b/>
        <w:bCs/>
      </w:rPr>
      <w:tblPr/>
      <w:tcPr>
        <w:tcBorders>
          <w:top w:val="nil"/>
          <w:left w:val="nil"/>
          <w:bottom w:val="nil"/>
          <w:right w:val="nil"/>
          <w:insideH w:val="nil"/>
          <w:insideV w:val="nil"/>
          <w:tl2br w:val="nil"/>
          <w:tr2bl w:val="nil"/>
        </w:tcBorders>
        <w:tcMar>
          <w:top w:w="0" w:type="nil"/>
          <w:left w:w="0" w:type="dxa"/>
          <w:bottom w:w="0" w:type="nil"/>
          <w:right w:w="113" w:type="dxa"/>
        </w:tcMar>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nil"/>
          <w:right w:val="nil"/>
          <w:insideH w:val="nil"/>
          <w:insideV w:val="nil"/>
          <w:tl2br w:val="nil"/>
          <w:tr2bl w:val="nil"/>
        </w:tcBorders>
        <w:shd w:val="clear" w:color="auto" w:fill="FFFFFF" w:themeFill="background1"/>
      </w:tcPr>
    </w:tblStylePr>
    <w:tblStylePr w:type="band1Horz">
      <w:tblPr/>
      <w:tcPr>
        <w:tcBorders>
          <w:top w:val="nil"/>
          <w:left w:val="nil"/>
          <w:bottom w:val="nil"/>
          <w:right w:val="nil"/>
          <w:insideH w:val="nil"/>
          <w:insideV w:val="nil"/>
          <w:tl2br w:val="nil"/>
          <w:tr2bl w:val="nil"/>
        </w:tcBorders>
        <w:shd w:val="clear" w:color="auto" w:fill="FFFFFF" w:themeFill="background1"/>
      </w:tcPr>
    </w:tblStylePr>
    <w:tblStylePr w:type="band2Horz">
      <w:tblPr/>
      <w:tcPr>
        <w:tcBorders>
          <w:top w:val="nil"/>
          <w:left w:val="nil"/>
          <w:bottom w:val="nil"/>
          <w:right w:val="nil"/>
          <w:insideH w:val="nil"/>
          <w:insideV w:val="nil"/>
          <w:tl2br w:val="nil"/>
          <w:tr2bl w:val="nil"/>
        </w:tcBorders>
        <w:shd w:val="clear" w:color="auto" w:fill="FFFFFF" w:themeFill="background1"/>
      </w:tcPr>
    </w:tblStylePr>
    <w:tblStylePr w:type="seCell">
      <w:tblPr/>
      <w:tcPr>
        <w:tcBorders>
          <w:top w:val="nil"/>
          <w:left w:val="nil"/>
          <w:bottom w:val="nil"/>
          <w:right w:val="nil"/>
          <w:insideH w:val="nil"/>
          <w:insideV w:val="nil"/>
          <w:tl2br w:val="nil"/>
          <w:tr2bl w:val="nil"/>
        </w:tcBorders>
        <w:shd w:val="clear" w:color="auto" w:fill="FFFFFF" w:themeFill="background1"/>
      </w:tcPr>
    </w:tblStylePr>
  </w:style>
  <w:style w:type="paragraph" w:customStyle="1" w:styleId="Casestudytitles">
    <w:name w:val="Case study titles"/>
    <w:basedOn w:val="Heading3"/>
    <w:link w:val="CasestudytitlesChar"/>
    <w:uiPriority w:val="14"/>
    <w:qFormat/>
    <w:rsid w:val="00825F31"/>
    <w:pPr>
      <w:pBdr>
        <w:top w:val="single" w:sz="4" w:space="1" w:color="90A7B2" w:themeColor="accent3"/>
      </w:pBdr>
    </w:pPr>
  </w:style>
  <w:style w:type="character" w:customStyle="1" w:styleId="CasestudytitlesChar">
    <w:name w:val="Case study titles Char"/>
    <w:basedOn w:val="Heading3Char"/>
    <w:link w:val="Casestudytitles"/>
    <w:uiPriority w:val="14"/>
    <w:rsid w:val="00825F31"/>
    <w:rPr>
      <w:rFonts w:asciiTheme="majorHAnsi" w:eastAsiaTheme="majorEastAsia" w:hAnsiTheme="majorHAnsi" w:cstheme="majorBidi"/>
      <w:noProof/>
      <w:color w:val="90A7B2" w:themeColor="accent3"/>
      <w:sz w:val="28"/>
      <w:szCs w:val="32"/>
      <w:lang w:val="en-GB"/>
    </w:rPr>
  </w:style>
  <w:style w:type="paragraph" w:styleId="ListParagraph">
    <w:name w:val="List Paragraph"/>
    <w:aliases w:val="Numbered List"/>
    <w:basedOn w:val="Normal"/>
    <w:uiPriority w:val="34"/>
    <w:unhideWhenUsed/>
    <w:qFormat/>
    <w:rsid w:val="00C20129"/>
    <w:pPr>
      <w:numPr>
        <w:numId w:val="30"/>
      </w:numPr>
      <w:tabs>
        <w:tab w:val="left" w:pos="252"/>
      </w:tabs>
      <w:contextualSpacing/>
    </w:pPr>
  </w:style>
  <w:style w:type="paragraph" w:styleId="NoSpacing">
    <w:name w:val="No Spacing"/>
    <w:basedOn w:val="Normal"/>
    <w:link w:val="NoSpacingChar"/>
    <w:uiPriority w:val="25"/>
    <w:qFormat/>
    <w:rsid w:val="002F2072"/>
    <w:pPr>
      <w:spacing w:after="0"/>
    </w:pPr>
  </w:style>
  <w:style w:type="character" w:customStyle="1" w:styleId="NoSpacingChar">
    <w:name w:val="No Spacing Char"/>
    <w:basedOn w:val="DefaultParagraphFont"/>
    <w:link w:val="NoSpacing"/>
    <w:uiPriority w:val="25"/>
    <w:rsid w:val="00902929"/>
    <w:rPr>
      <w:sz w:val="20"/>
      <w:lang w:val="en-GB"/>
    </w:rPr>
  </w:style>
  <w:style w:type="paragraph" w:customStyle="1" w:styleId="rightalign">
    <w:name w:val="right align"/>
    <w:basedOn w:val="Footer"/>
    <w:link w:val="rightalignChar"/>
    <w:rsid w:val="00902929"/>
    <w:pPr>
      <w:jc w:val="right"/>
    </w:pPr>
    <w:rPr>
      <w:sz w:val="14"/>
      <w:szCs w:val="14"/>
    </w:rPr>
  </w:style>
  <w:style w:type="character" w:customStyle="1" w:styleId="rightalignChar">
    <w:name w:val="right align Char"/>
    <w:basedOn w:val="FooterChar"/>
    <w:link w:val="rightalign"/>
    <w:rsid w:val="00902929"/>
    <w:rPr>
      <w:sz w:val="14"/>
      <w:szCs w:val="14"/>
    </w:rPr>
  </w:style>
  <w:style w:type="paragraph" w:styleId="Revision">
    <w:name w:val="Revision"/>
    <w:hidden/>
    <w:uiPriority w:val="99"/>
    <w:semiHidden/>
    <w:rsid w:val="00D60A17"/>
  </w:style>
  <w:style w:type="character" w:customStyle="1" w:styleId="UnresolvedMention1">
    <w:name w:val="Unresolved Mention1"/>
    <w:basedOn w:val="DefaultParagraphFont"/>
    <w:uiPriority w:val="99"/>
    <w:semiHidden/>
    <w:unhideWhenUsed/>
    <w:rsid w:val="000D7A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937056">
      <w:bodyDiv w:val="1"/>
      <w:marLeft w:val="0"/>
      <w:marRight w:val="0"/>
      <w:marTop w:val="0"/>
      <w:marBottom w:val="0"/>
      <w:divBdr>
        <w:top w:val="none" w:sz="0" w:space="0" w:color="auto"/>
        <w:left w:val="none" w:sz="0" w:space="0" w:color="auto"/>
        <w:bottom w:val="none" w:sz="0" w:space="0" w:color="auto"/>
        <w:right w:val="none" w:sz="0" w:space="0" w:color="auto"/>
      </w:divBdr>
    </w:div>
    <w:div w:id="263925912">
      <w:bodyDiv w:val="1"/>
      <w:marLeft w:val="0"/>
      <w:marRight w:val="0"/>
      <w:marTop w:val="0"/>
      <w:marBottom w:val="0"/>
      <w:divBdr>
        <w:top w:val="none" w:sz="0" w:space="0" w:color="auto"/>
        <w:left w:val="none" w:sz="0" w:space="0" w:color="auto"/>
        <w:bottom w:val="none" w:sz="0" w:space="0" w:color="auto"/>
        <w:right w:val="none" w:sz="0" w:space="0" w:color="auto"/>
      </w:divBdr>
    </w:div>
    <w:div w:id="326444896">
      <w:bodyDiv w:val="1"/>
      <w:marLeft w:val="0"/>
      <w:marRight w:val="0"/>
      <w:marTop w:val="0"/>
      <w:marBottom w:val="0"/>
      <w:divBdr>
        <w:top w:val="none" w:sz="0" w:space="0" w:color="auto"/>
        <w:left w:val="none" w:sz="0" w:space="0" w:color="auto"/>
        <w:bottom w:val="none" w:sz="0" w:space="0" w:color="auto"/>
        <w:right w:val="none" w:sz="0" w:space="0" w:color="auto"/>
      </w:divBdr>
    </w:div>
    <w:div w:id="350566660">
      <w:bodyDiv w:val="1"/>
      <w:marLeft w:val="0"/>
      <w:marRight w:val="0"/>
      <w:marTop w:val="0"/>
      <w:marBottom w:val="0"/>
      <w:divBdr>
        <w:top w:val="none" w:sz="0" w:space="0" w:color="auto"/>
        <w:left w:val="none" w:sz="0" w:space="0" w:color="auto"/>
        <w:bottom w:val="none" w:sz="0" w:space="0" w:color="auto"/>
        <w:right w:val="none" w:sz="0" w:space="0" w:color="auto"/>
      </w:divBdr>
    </w:div>
    <w:div w:id="629046107">
      <w:bodyDiv w:val="1"/>
      <w:marLeft w:val="0"/>
      <w:marRight w:val="0"/>
      <w:marTop w:val="0"/>
      <w:marBottom w:val="0"/>
      <w:divBdr>
        <w:top w:val="none" w:sz="0" w:space="0" w:color="auto"/>
        <w:left w:val="none" w:sz="0" w:space="0" w:color="auto"/>
        <w:bottom w:val="none" w:sz="0" w:space="0" w:color="auto"/>
        <w:right w:val="none" w:sz="0" w:space="0" w:color="auto"/>
      </w:divBdr>
    </w:div>
    <w:div w:id="852765435">
      <w:bodyDiv w:val="1"/>
      <w:marLeft w:val="0"/>
      <w:marRight w:val="0"/>
      <w:marTop w:val="0"/>
      <w:marBottom w:val="0"/>
      <w:divBdr>
        <w:top w:val="none" w:sz="0" w:space="0" w:color="auto"/>
        <w:left w:val="none" w:sz="0" w:space="0" w:color="auto"/>
        <w:bottom w:val="none" w:sz="0" w:space="0" w:color="auto"/>
        <w:right w:val="none" w:sz="0" w:space="0" w:color="auto"/>
      </w:divBdr>
    </w:div>
    <w:div w:id="944070491">
      <w:bodyDiv w:val="1"/>
      <w:marLeft w:val="0"/>
      <w:marRight w:val="0"/>
      <w:marTop w:val="0"/>
      <w:marBottom w:val="0"/>
      <w:divBdr>
        <w:top w:val="none" w:sz="0" w:space="0" w:color="auto"/>
        <w:left w:val="none" w:sz="0" w:space="0" w:color="auto"/>
        <w:bottom w:val="none" w:sz="0" w:space="0" w:color="auto"/>
        <w:right w:val="none" w:sz="0" w:space="0" w:color="auto"/>
      </w:divBdr>
    </w:div>
    <w:div w:id="958683364">
      <w:bodyDiv w:val="1"/>
      <w:marLeft w:val="0"/>
      <w:marRight w:val="0"/>
      <w:marTop w:val="0"/>
      <w:marBottom w:val="0"/>
      <w:divBdr>
        <w:top w:val="none" w:sz="0" w:space="0" w:color="auto"/>
        <w:left w:val="none" w:sz="0" w:space="0" w:color="auto"/>
        <w:bottom w:val="none" w:sz="0" w:space="0" w:color="auto"/>
        <w:right w:val="none" w:sz="0" w:space="0" w:color="auto"/>
      </w:divBdr>
    </w:div>
    <w:div w:id="1000304721">
      <w:bodyDiv w:val="1"/>
      <w:marLeft w:val="0"/>
      <w:marRight w:val="0"/>
      <w:marTop w:val="0"/>
      <w:marBottom w:val="0"/>
      <w:divBdr>
        <w:top w:val="none" w:sz="0" w:space="0" w:color="auto"/>
        <w:left w:val="none" w:sz="0" w:space="0" w:color="auto"/>
        <w:bottom w:val="none" w:sz="0" w:space="0" w:color="auto"/>
        <w:right w:val="none" w:sz="0" w:space="0" w:color="auto"/>
      </w:divBdr>
    </w:div>
    <w:div w:id="1138454180">
      <w:bodyDiv w:val="1"/>
      <w:marLeft w:val="0"/>
      <w:marRight w:val="0"/>
      <w:marTop w:val="0"/>
      <w:marBottom w:val="0"/>
      <w:divBdr>
        <w:top w:val="none" w:sz="0" w:space="0" w:color="auto"/>
        <w:left w:val="none" w:sz="0" w:space="0" w:color="auto"/>
        <w:bottom w:val="none" w:sz="0" w:space="0" w:color="auto"/>
        <w:right w:val="none" w:sz="0" w:space="0" w:color="auto"/>
      </w:divBdr>
    </w:div>
    <w:div w:id="1407268913">
      <w:bodyDiv w:val="1"/>
      <w:marLeft w:val="0"/>
      <w:marRight w:val="0"/>
      <w:marTop w:val="0"/>
      <w:marBottom w:val="0"/>
      <w:divBdr>
        <w:top w:val="none" w:sz="0" w:space="0" w:color="auto"/>
        <w:left w:val="none" w:sz="0" w:space="0" w:color="auto"/>
        <w:bottom w:val="none" w:sz="0" w:space="0" w:color="auto"/>
        <w:right w:val="none" w:sz="0" w:space="0" w:color="auto"/>
      </w:divBdr>
    </w:div>
    <w:div w:id="1476488193">
      <w:bodyDiv w:val="1"/>
      <w:marLeft w:val="0"/>
      <w:marRight w:val="0"/>
      <w:marTop w:val="0"/>
      <w:marBottom w:val="0"/>
      <w:divBdr>
        <w:top w:val="none" w:sz="0" w:space="0" w:color="auto"/>
        <w:left w:val="none" w:sz="0" w:space="0" w:color="auto"/>
        <w:bottom w:val="none" w:sz="0" w:space="0" w:color="auto"/>
        <w:right w:val="none" w:sz="0" w:space="0" w:color="auto"/>
      </w:divBdr>
    </w:div>
    <w:div w:id="1500198425">
      <w:bodyDiv w:val="1"/>
      <w:marLeft w:val="0"/>
      <w:marRight w:val="0"/>
      <w:marTop w:val="0"/>
      <w:marBottom w:val="0"/>
      <w:divBdr>
        <w:top w:val="none" w:sz="0" w:space="0" w:color="auto"/>
        <w:left w:val="none" w:sz="0" w:space="0" w:color="auto"/>
        <w:bottom w:val="none" w:sz="0" w:space="0" w:color="auto"/>
        <w:right w:val="none" w:sz="0" w:space="0" w:color="auto"/>
      </w:divBdr>
    </w:div>
    <w:div w:id="1503088614">
      <w:bodyDiv w:val="1"/>
      <w:marLeft w:val="0"/>
      <w:marRight w:val="0"/>
      <w:marTop w:val="0"/>
      <w:marBottom w:val="0"/>
      <w:divBdr>
        <w:top w:val="none" w:sz="0" w:space="0" w:color="auto"/>
        <w:left w:val="none" w:sz="0" w:space="0" w:color="auto"/>
        <w:bottom w:val="none" w:sz="0" w:space="0" w:color="auto"/>
        <w:right w:val="none" w:sz="0" w:space="0" w:color="auto"/>
      </w:divBdr>
    </w:div>
    <w:div w:id="1511721328">
      <w:bodyDiv w:val="1"/>
      <w:marLeft w:val="0"/>
      <w:marRight w:val="0"/>
      <w:marTop w:val="0"/>
      <w:marBottom w:val="0"/>
      <w:divBdr>
        <w:top w:val="none" w:sz="0" w:space="0" w:color="auto"/>
        <w:left w:val="none" w:sz="0" w:space="0" w:color="auto"/>
        <w:bottom w:val="none" w:sz="0" w:space="0" w:color="auto"/>
        <w:right w:val="none" w:sz="0" w:space="0" w:color="auto"/>
      </w:divBdr>
    </w:div>
    <w:div w:id="1513455328">
      <w:bodyDiv w:val="1"/>
      <w:marLeft w:val="0"/>
      <w:marRight w:val="0"/>
      <w:marTop w:val="0"/>
      <w:marBottom w:val="0"/>
      <w:divBdr>
        <w:top w:val="none" w:sz="0" w:space="0" w:color="auto"/>
        <w:left w:val="none" w:sz="0" w:space="0" w:color="auto"/>
        <w:bottom w:val="none" w:sz="0" w:space="0" w:color="auto"/>
        <w:right w:val="none" w:sz="0" w:space="0" w:color="auto"/>
      </w:divBdr>
      <w:divsChild>
        <w:div w:id="1399982703">
          <w:marLeft w:val="446"/>
          <w:marRight w:val="0"/>
          <w:marTop w:val="240"/>
          <w:marBottom w:val="0"/>
          <w:divBdr>
            <w:top w:val="none" w:sz="0" w:space="0" w:color="auto"/>
            <w:left w:val="none" w:sz="0" w:space="0" w:color="auto"/>
            <w:bottom w:val="none" w:sz="0" w:space="0" w:color="auto"/>
            <w:right w:val="none" w:sz="0" w:space="0" w:color="auto"/>
          </w:divBdr>
        </w:div>
      </w:divsChild>
    </w:div>
    <w:div w:id="1527132714">
      <w:bodyDiv w:val="1"/>
      <w:marLeft w:val="0"/>
      <w:marRight w:val="0"/>
      <w:marTop w:val="0"/>
      <w:marBottom w:val="0"/>
      <w:divBdr>
        <w:top w:val="none" w:sz="0" w:space="0" w:color="auto"/>
        <w:left w:val="none" w:sz="0" w:space="0" w:color="auto"/>
        <w:bottom w:val="none" w:sz="0" w:space="0" w:color="auto"/>
        <w:right w:val="none" w:sz="0" w:space="0" w:color="auto"/>
      </w:divBdr>
    </w:div>
    <w:div w:id="1766531110">
      <w:bodyDiv w:val="1"/>
      <w:marLeft w:val="0"/>
      <w:marRight w:val="0"/>
      <w:marTop w:val="0"/>
      <w:marBottom w:val="0"/>
      <w:divBdr>
        <w:top w:val="none" w:sz="0" w:space="0" w:color="auto"/>
        <w:left w:val="none" w:sz="0" w:space="0" w:color="auto"/>
        <w:bottom w:val="none" w:sz="0" w:space="0" w:color="auto"/>
        <w:right w:val="none" w:sz="0" w:space="0" w:color="auto"/>
      </w:divBdr>
    </w:div>
    <w:div w:id="1864897678">
      <w:bodyDiv w:val="1"/>
      <w:marLeft w:val="0"/>
      <w:marRight w:val="0"/>
      <w:marTop w:val="0"/>
      <w:marBottom w:val="0"/>
      <w:divBdr>
        <w:top w:val="none" w:sz="0" w:space="0" w:color="auto"/>
        <w:left w:val="none" w:sz="0" w:space="0" w:color="auto"/>
        <w:bottom w:val="none" w:sz="0" w:space="0" w:color="auto"/>
        <w:right w:val="none" w:sz="0" w:space="0" w:color="auto"/>
      </w:divBdr>
    </w:div>
    <w:div w:id="195409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ouvreabudhabi.ae/ar/visit/plan-your-visi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Brunswick Brand">
  <a:themeElements>
    <a:clrScheme name="Custom 3">
      <a:dk1>
        <a:srgbClr val="001432"/>
      </a:dk1>
      <a:lt1>
        <a:srgbClr val="FFFFFF"/>
      </a:lt1>
      <a:dk2>
        <a:srgbClr val="85827B"/>
      </a:dk2>
      <a:lt2>
        <a:srgbClr val="7A0050"/>
      </a:lt2>
      <a:accent1>
        <a:srgbClr val="7962CE"/>
      </a:accent1>
      <a:accent2>
        <a:srgbClr val="1ED7D7"/>
      </a:accent2>
      <a:accent3>
        <a:srgbClr val="90A7B2"/>
      </a:accent3>
      <a:accent4>
        <a:srgbClr val="007878"/>
      </a:accent4>
      <a:accent5>
        <a:srgbClr val="FF4E38"/>
      </a:accent5>
      <a:accent6>
        <a:srgbClr val="FFB200"/>
      </a:accent6>
      <a:hlink>
        <a:srgbClr val="90A7B2"/>
      </a:hlink>
      <a:folHlink>
        <a:srgbClr val="1ED7D7"/>
      </a:folHlink>
    </a:clrScheme>
    <a:fontScheme name="Custom 4">
      <a:majorFont>
        <a:latin typeface="Segoe UI Semibold"/>
        <a:ea typeface=""/>
        <a:cs typeface=""/>
      </a:majorFont>
      <a:minorFont>
        <a:latin typeface="Segoe U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sz="2000" dirty="0" err="1" smtClean="0"/>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Brunswick Brand" id="{C20D8C73-F153-414C-AA57-0EAA793313A7}" vid="{1619BC81-0DAB-40F2-BDB7-D6D8D31925C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BAEFB717-440E-4620-9562-A83D57813582}">
  <ds:schemaRefs>
    <ds:schemaRef ds:uri="http://schemas.openxmlformats.org/officeDocument/2006/bibliography"/>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1301</Words>
  <Characters>7422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Sana</dc:creator>
  <cp:keywords/>
  <dc:description/>
  <cp:lastModifiedBy>Malak Jarrar</cp:lastModifiedBy>
  <cp:revision>8</cp:revision>
  <cp:lastPrinted>2017-09-01T13:34:00Z</cp:lastPrinted>
  <dcterms:created xsi:type="dcterms:W3CDTF">2020-07-01T14:25:00Z</dcterms:created>
  <dcterms:modified xsi:type="dcterms:W3CDTF">2020-07-14T06:50:00Z</dcterms:modified>
</cp:coreProperties>
</file>